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A86" w:rsidRDefault="00537A86" w:rsidP="00537A86">
      <w:pPr>
        <w:snapToGrid w:val="0"/>
        <w:spacing w:line="360" w:lineRule="auto"/>
        <w:ind w:firstLineChars="100" w:firstLine="241"/>
        <w:contextualSpacing/>
        <w:jc w:val="left"/>
        <w:rPr>
          <w:rFonts w:ascii="宋体" w:hAnsi="宋体" w:cs="宋体" w:hint="eastAsia"/>
          <w:b/>
          <w:bCs/>
          <w:color w:val="000000"/>
          <w:sz w:val="24"/>
        </w:rPr>
      </w:pPr>
      <w:r>
        <w:rPr>
          <w:rFonts w:ascii="宋体" w:hAnsi="宋体" w:cs="宋体" w:hint="eastAsia"/>
          <w:b/>
          <w:bCs/>
          <w:color w:val="000000"/>
          <w:sz w:val="24"/>
        </w:rPr>
        <w:t xml:space="preserve">项目需求及技术要求： </w:t>
      </w:r>
    </w:p>
    <w:p w:rsidR="00537A86" w:rsidRDefault="00537A86" w:rsidP="00537A86">
      <w:pPr>
        <w:snapToGrid w:val="0"/>
        <w:spacing w:line="360" w:lineRule="auto"/>
        <w:ind w:firstLineChars="100" w:firstLine="241"/>
        <w:contextualSpacing/>
        <w:jc w:val="left"/>
        <w:rPr>
          <w:rFonts w:ascii="宋体" w:hAnsi="宋体" w:cs="宋体" w:hint="eastAsia"/>
          <w:b/>
          <w:bCs/>
          <w:color w:val="000000"/>
          <w:sz w:val="24"/>
        </w:rPr>
      </w:pPr>
      <w:r>
        <w:rPr>
          <w:rFonts w:ascii="宋体" w:hAnsi="宋体" w:cs="宋体" w:hint="eastAsia"/>
          <w:b/>
          <w:bCs/>
          <w:color w:val="000000"/>
          <w:sz w:val="24"/>
        </w:rPr>
        <w:t xml:space="preserve">  *1、设备总体介绍</w:t>
      </w:r>
    </w:p>
    <w:p w:rsidR="00537A86" w:rsidRDefault="00537A86" w:rsidP="00537A86">
      <w:pPr>
        <w:snapToGrid w:val="0"/>
        <w:spacing w:line="360" w:lineRule="auto"/>
        <w:ind w:firstLineChars="100" w:firstLine="240"/>
        <w:contextualSpacing/>
        <w:jc w:val="left"/>
        <w:rPr>
          <w:rFonts w:ascii="宋体" w:hAnsi="宋体" w:cs="宋体" w:hint="eastAsia"/>
          <w:bCs/>
          <w:color w:val="000000"/>
          <w:sz w:val="24"/>
        </w:rPr>
      </w:pPr>
      <w:r>
        <w:rPr>
          <w:rFonts w:ascii="宋体" w:hAnsi="宋体" w:cs="宋体" w:hint="eastAsia"/>
          <w:bCs/>
          <w:color w:val="000000"/>
          <w:sz w:val="24"/>
        </w:rPr>
        <w:t xml:space="preserve">（1）交互式智能触控黑板是将传统多媒体教室中的电脑、投影仪、电子白板、高拍仪、音响等设备集合于一体的可拓展式新型黑板；  </w:t>
      </w:r>
    </w:p>
    <w:p w:rsidR="00537A86" w:rsidRDefault="00537A86" w:rsidP="00537A86">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2）采用先进的触控技术，可一键从黑板切换到触摸屏，将传统的手写黑板和多媒体教学完美结合，既可以用粉笔正常书写，又可以交互触控，并能够展现图片、视频、动画等多样化的丰富媒体资源，满足教学环境无粉尘、高安全防护、高频率操作的使用需求，带来了教学上革命性的改变，让智慧教学从此变的简单；</w:t>
      </w:r>
    </w:p>
    <w:p w:rsidR="00537A86" w:rsidRDefault="00537A86" w:rsidP="00537A86">
      <w:pPr>
        <w:snapToGrid w:val="0"/>
        <w:spacing w:line="360" w:lineRule="auto"/>
        <w:ind w:firstLineChars="50" w:firstLine="120"/>
        <w:contextualSpacing/>
        <w:jc w:val="left"/>
        <w:rPr>
          <w:rFonts w:ascii="宋体" w:hAnsi="宋体" w:cs="宋体"/>
          <w:bCs/>
          <w:color w:val="000000"/>
          <w:sz w:val="24"/>
        </w:rPr>
      </w:pPr>
      <w:r>
        <w:rPr>
          <w:rFonts w:ascii="宋体" w:hAnsi="宋体" w:cs="宋体" w:hint="eastAsia"/>
          <w:bCs/>
          <w:color w:val="000000"/>
          <w:sz w:val="24"/>
        </w:rPr>
        <w:t>（3）投标设备需提供中华人民共和国国家质量监督检验检疫总局颁发的《计量器具型式批准证书》复印件及完整的型式评价报告，并包含投标机型型号；以证明其销售的合法性；</w:t>
      </w:r>
    </w:p>
    <w:p w:rsidR="00537A86" w:rsidRDefault="00537A86" w:rsidP="00537A86">
      <w:pPr>
        <w:snapToGrid w:val="0"/>
        <w:spacing w:line="360" w:lineRule="auto"/>
        <w:contextualSpacing/>
        <w:jc w:val="left"/>
        <w:rPr>
          <w:rFonts w:ascii="宋体" w:hAnsi="宋体" w:cs="宋体" w:hint="eastAsia"/>
          <w:b/>
          <w:bCs/>
          <w:color w:val="000000"/>
          <w:sz w:val="24"/>
        </w:rPr>
      </w:pPr>
      <w:r>
        <w:rPr>
          <w:rFonts w:ascii="宋体" w:hAnsi="宋体" w:cs="宋体" w:hint="eastAsia"/>
          <w:b/>
          <w:bCs/>
          <w:color w:val="000000"/>
          <w:sz w:val="24"/>
        </w:rPr>
        <w:t xml:space="preserve">   2、技术参数</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2"/>
        <w:gridCol w:w="7575"/>
      </w:tblGrid>
      <w:tr w:rsidR="00537A86" w:rsidTr="0049779E">
        <w:trPr>
          <w:trHeight w:val="642"/>
        </w:trPr>
        <w:tc>
          <w:tcPr>
            <w:tcW w:w="1192" w:type="dxa"/>
            <w:vMerge w:val="restart"/>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外观</w:t>
            </w: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正面显示为一个由三块拼接而成的平面普通黑板，可以在上面用水笔书写，又可以根据需要采用无尘粉笔书写；</w:t>
            </w:r>
          </w:p>
        </w:tc>
      </w:tr>
      <w:tr w:rsidR="00537A86" w:rsidTr="0049779E">
        <w:trPr>
          <w:trHeight w:val="724"/>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整机具有一键熄屏功能，熄屏键（TOUCH键）位于屏幕中下方：当黑板接入电源时，中间一块显示出液晶的显示画面，可以进行触摸互动多媒体内容；</w:t>
            </w:r>
          </w:p>
        </w:tc>
      </w:tr>
      <w:tr w:rsidR="00537A86" w:rsidTr="0049779E">
        <w:trPr>
          <w:trHeight w:val="724"/>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当触摸显示屏正下方TOUCH键时，显示画面隐形，又显示为一个普通黑板的表象，可以在上面进行书写；</w:t>
            </w:r>
          </w:p>
        </w:tc>
      </w:tr>
      <w:tr w:rsidR="00537A86" w:rsidTr="0049779E">
        <w:trPr>
          <w:trHeight w:val="373"/>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黑板中间主体为翻转结构，便于维护；</w:t>
            </w:r>
          </w:p>
        </w:tc>
      </w:tr>
      <w:tr w:rsidR="00537A86" w:rsidTr="0049779E">
        <w:trPr>
          <w:trHeight w:val="373"/>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指示灯显示，待机状态显示红灯，启动状态为绿灯；</w:t>
            </w:r>
          </w:p>
        </w:tc>
      </w:tr>
      <w:tr w:rsidR="00537A86" w:rsidTr="0049779E">
        <w:trPr>
          <w:trHeight w:val="102"/>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超薄设计；模块化设计，壁挂式安装，拆卸方便；</w:t>
            </w:r>
          </w:p>
        </w:tc>
      </w:tr>
      <w:tr w:rsidR="00537A86" w:rsidTr="0049779E">
        <w:trPr>
          <w:trHeight w:val="102"/>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集成多媒体教室主流设备，所有组件采用模块式组合，任何组件可以随时更换；简化教室布线；</w:t>
            </w:r>
          </w:p>
        </w:tc>
      </w:tr>
      <w:tr w:rsidR="00537A86" w:rsidTr="0049779E">
        <w:trPr>
          <w:trHeight w:val="102"/>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铝合金圆角工艺，屏幕玻璃嵌入铝合金边框中，使玻璃和边框巧妙融合，同时对玻璃和使用者双重保护，安全可靠；</w:t>
            </w:r>
          </w:p>
        </w:tc>
      </w:tr>
      <w:tr w:rsidR="00537A86" w:rsidTr="0049779E">
        <w:trPr>
          <w:trHeight w:val="102"/>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USB接口设计在屏幕右侧，便于插拔；</w:t>
            </w:r>
          </w:p>
        </w:tc>
      </w:tr>
      <w:tr w:rsidR="00537A86" w:rsidTr="0049779E">
        <w:trPr>
          <w:trHeight w:val="102"/>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电源插线口隐藏在下方，避免损坏插口，无安全隐患；</w:t>
            </w:r>
          </w:p>
        </w:tc>
      </w:tr>
      <w:tr w:rsidR="00537A86" w:rsidTr="0049779E">
        <w:trPr>
          <w:trHeight w:val="153"/>
        </w:trPr>
        <w:tc>
          <w:tcPr>
            <w:tcW w:w="1192" w:type="dxa"/>
            <w:vMerge w:val="restart"/>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液晶屏</w:t>
            </w: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高清超大尺寸80寸</w:t>
            </w:r>
            <w:bookmarkStart w:id="0" w:name="_GoBack"/>
            <w:bookmarkEnd w:id="0"/>
            <w:r>
              <w:rPr>
                <w:rFonts w:ascii="宋体" w:hAnsi="宋体" w:cs="宋体" w:hint="eastAsia"/>
                <w:bCs/>
                <w:color w:val="000000"/>
                <w:sz w:val="24"/>
              </w:rPr>
              <w:t>液晶显示屏，分辩率支持3840*2160，比例：16:9，</w:t>
            </w:r>
            <w:r>
              <w:rPr>
                <w:rFonts w:ascii="宋体" w:hAnsi="宋体" w:cs="宋体" w:hint="eastAsia"/>
                <w:bCs/>
                <w:color w:val="000000"/>
                <w:sz w:val="24"/>
              </w:rPr>
              <w:lastRenderedPageBreak/>
              <w:t xml:space="preserve">89/89/89/89，L/R/U/D 宽视角 亮度400 </w:t>
            </w:r>
            <w:proofErr w:type="spellStart"/>
            <w:r>
              <w:rPr>
                <w:rFonts w:ascii="宋体" w:hAnsi="宋体" w:cs="宋体" w:hint="eastAsia"/>
                <w:bCs/>
                <w:color w:val="000000"/>
                <w:sz w:val="24"/>
              </w:rPr>
              <w:t>cd</w:t>
            </w:r>
            <w:proofErr w:type="spellEnd"/>
            <w:r>
              <w:rPr>
                <w:rFonts w:ascii="宋体" w:hAnsi="宋体" w:cs="宋体" w:hint="eastAsia"/>
                <w:bCs/>
                <w:color w:val="000000"/>
                <w:sz w:val="24"/>
              </w:rPr>
              <w:t>/m²(center point) ；</w:t>
            </w:r>
          </w:p>
        </w:tc>
      </w:tr>
      <w:tr w:rsidR="00537A86" w:rsidTr="0049779E">
        <w:trPr>
          <w:trHeight w:val="409"/>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在明亮环境下显示正常，抗强光强；</w:t>
            </w:r>
          </w:p>
        </w:tc>
      </w:tr>
      <w:tr w:rsidR="00537A86" w:rsidTr="0049779E">
        <w:trPr>
          <w:trHeight w:val="153"/>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屏幕一体化设计，缝隙严格控制在2mm以下，美观且密闭性更高；</w:t>
            </w:r>
          </w:p>
        </w:tc>
      </w:tr>
      <w:tr w:rsidR="00537A86" w:rsidTr="0049779E">
        <w:tc>
          <w:tcPr>
            <w:tcW w:w="1192"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玻璃</w:t>
            </w: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屏幕采用4mm钢化玻璃，防水防尘防爆，坚固耐用易清洁，健康环保；</w:t>
            </w:r>
          </w:p>
        </w:tc>
      </w:tr>
      <w:tr w:rsidR="00537A86" w:rsidTr="0049779E">
        <w:trPr>
          <w:trHeight w:val="102"/>
        </w:trPr>
        <w:tc>
          <w:tcPr>
            <w:tcW w:w="1192" w:type="dxa"/>
            <w:vMerge w:val="restart"/>
            <w:vAlign w:val="center"/>
          </w:tcPr>
          <w:p w:rsidR="00537A86" w:rsidRDefault="00537A86" w:rsidP="0049779E">
            <w:pPr>
              <w:snapToGrid w:val="0"/>
              <w:spacing w:line="360" w:lineRule="auto"/>
              <w:contextualSpacing/>
              <w:jc w:val="left"/>
              <w:rPr>
                <w:rFonts w:ascii="宋体" w:hAnsi="宋体" w:cs="宋体"/>
                <w:bCs/>
                <w:color w:val="000000"/>
                <w:sz w:val="24"/>
              </w:rPr>
            </w:pPr>
            <w:r>
              <w:rPr>
                <w:rFonts w:ascii="宋体" w:hAnsi="宋体" w:cs="宋体" w:hint="eastAsia"/>
                <w:bCs/>
                <w:color w:val="000000"/>
                <w:sz w:val="24"/>
              </w:rPr>
              <w:t>触控功能</w:t>
            </w: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20点电容触控，支持多人书写，适用于多人互动等场景；</w:t>
            </w:r>
          </w:p>
        </w:tc>
      </w:tr>
      <w:tr w:rsidR="00537A86" w:rsidTr="0049779E">
        <w:trPr>
          <w:trHeight w:val="102"/>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电容屏,纳米触控技术 触摸有效识别≤4ms；</w:t>
            </w:r>
          </w:p>
        </w:tc>
      </w:tr>
      <w:tr w:rsidR="00537A86" w:rsidTr="0049779E">
        <w:trPr>
          <w:trHeight w:val="102"/>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光标速度小于7ms，书写流畅；</w:t>
            </w:r>
          </w:p>
        </w:tc>
      </w:tr>
      <w:tr w:rsidR="00537A86" w:rsidTr="0049779E">
        <w:trPr>
          <w:trHeight w:val="102"/>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采用24-bit液晶面板驱动技术，可显示16.7Millon种色彩，色彩渐变平滑顺畅，饱满生动，高对比度和亮度，显示不受外部光线影响，黑板暗场表现能力强，屏幕书写时不刺眼，无热量辐射；</w:t>
            </w:r>
          </w:p>
        </w:tc>
      </w:tr>
      <w:tr w:rsidR="00537A86" w:rsidTr="0049779E">
        <w:trPr>
          <w:trHeight w:val="102"/>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触摸方式：手指和电容笔均可支持；</w:t>
            </w:r>
          </w:p>
        </w:tc>
      </w:tr>
      <w:tr w:rsidR="00537A86" w:rsidTr="0049779E">
        <w:trPr>
          <w:trHeight w:val="102"/>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支持触摸屏控制外接电脑；</w:t>
            </w:r>
          </w:p>
        </w:tc>
      </w:tr>
      <w:tr w:rsidR="00537A86" w:rsidTr="0049779E">
        <w:trPr>
          <w:trHeight w:val="351"/>
        </w:trPr>
        <w:tc>
          <w:tcPr>
            <w:tcW w:w="1192" w:type="dxa"/>
            <w:vMerge w:val="restart"/>
            <w:vAlign w:val="center"/>
          </w:tcPr>
          <w:p w:rsidR="00537A86" w:rsidRDefault="00537A86" w:rsidP="0049779E">
            <w:pPr>
              <w:snapToGrid w:val="0"/>
              <w:spacing w:line="360" w:lineRule="auto"/>
              <w:contextualSpacing/>
              <w:jc w:val="left"/>
              <w:rPr>
                <w:rFonts w:ascii="宋体" w:hAnsi="宋体" w:cs="宋体"/>
                <w:bCs/>
                <w:color w:val="000000"/>
                <w:sz w:val="24"/>
              </w:rPr>
            </w:pPr>
            <w:r>
              <w:rPr>
                <w:rFonts w:ascii="宋体" w:hAnsi="宋体" w:cs="宋体" w:hint="eastAsia"/>
                <w:bCs/>
                <w:color w:val="000000"/>
                <w:sz w:val="24"/>
              </w:rPr>
              <w:t>电脑部分</w:t>
            </w: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主控型号：Intel I5 CPU；RAM+ROM：4GB DDR3+128GB 固态硬盘；</w:t>
            </w:r>
          </w:p>
        </w:tc>
      </w:tr>
      <w:tr w:rsidR="00537A86" w:rsidTr="0049779E">
        <w:trPr>
          <w:trHeight w:val="87"/>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显示芯片：Intel HD Graphics 4400；</w:t>
            </w:r>
          </w:p>
        </w:tc>
      </w:tr>
      <w:tr w:rsidR="00537A86" w:rsidTr="0049779E">
        <w:trPr>
          <w:trHeight w:val="87"/>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输入接口：VGA*1； LAN*1； HDMI*1； USB 2.0*2； USB 3.0*2；</w:t>
            </w:r>
            <w:proofErr w:type="spellStart"/>
            <w:r>
              <w:rPr>
                <w:rFonts w:ascii="宋体" w:hAnsi="宋体" w:cs="宋体" w:hint="eastAsia"/>
                <w:bCs/>
                <w:color w:val="000000"/>
                <w:sz w:val="24"/>
              </w:rPr>
              <w:t>mic</w:t>
            </w:r>
            <w:proofErr w:type="spellEnd"/>
            <w:r>
              <w:rPr>
                <w:rFonts w:ascii="宋体" w:hAnsi="宋体" w:cs="宋体" w:hint="eastAsia"/>
                <w:bCs/>
                <w:color w:val="000000"/>
                <w:sz w:val="24"/>
              </w:rPr>
              <w:t xml:space="preserve"> in*1；</w:t>
            </w:r>
          </w:p>
        </w:tc>
      </w:tr>
      <w:tr w:rsidR="00537A86" w:rsidTr="0049779E">
        <w:trPr>
          <w:trHeight w:val="361"/>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输出接口：audio out*1,VGA*1;HDMI*1 ；4个输入2.0 USB 接口；</w:t>
            </w:r>
          </w:p>
        </w:tc>
      </w:tr>
      <w:tr w:rsidR="00537A86" w:rsidTr="0049779E">
        <w:trPr>
          <w:trHeight w:val="87"/>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无线接入：双WIFI，802.11 b/g/n信道；</w:t>
            </w:r>
          </w:p>
        </w:tc>
      </w:tr>
      <w:tr w:rsidR="00537A86" w:rsidTr="0049779E">
        <w:trPr>
          <w:trHeight w:val="589"/>
        </w:trPr>
        <w:tc>
          <w:tcPr>
            <w:tcW w:w="1192" w:type="dxa"/>
            <w:vMerge w:val="restart"/>
            <w:vAlign w:val="center"/>
          </w:tcPr>
          <w:p w:rsidR="00537A86" w:rsidRDefault="00537A86" w:rsidP="0049779E">
            <w:pPr>
              <w:snapToGrid w:val="0"/>
              <w:spacing w:line="360" w:lineRule="auto"/>
              <w:contextualSpacing/>
              <w:jc w:val="left"/>
              <w:rPr>
                <w:rFonts w:ascii="宋体" w:hAnsi="宋体" w:cs="宋体"/>
                <w:bCs/>
                <w:color w:val="000000"/>
                <w:sz w:val="24"/>
              </w:rPr>
            </w:pPr>
            <w:r>
              <w:rPr>
                <w:rFonts w:ascii="宋体" w:hAnsi="宋体" w:cs="宋体" w:hint="eastAsia"/>
                <w:bCs/>
                <w:color w:val="000000"/>
                <w:sz w:val="24"/>
              </w:rPr>
              <w:t>配件功能</w:t>
            </w:r>
          </w:p>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黑板左右两侧背面各集成一套音箱，内嵌式设计结构，输出功率：30瓦x2；无需多媒体教室音响设备，同时保证高品质的音质效果；配备无线</w:t>
            </w:r>
            <w:proofErr w:type="spellStart"/>
            <w:r>
              <w:rPr>
                <w:rFonts w:ascii="宋体" w:hAnsi="宋体" w:cs="宋体" w:hint="eastAsia"/>
                <w:bCs/>
                <w:color w:val="000000"/>
                <w:sz w:val="24"/>
              </w:rPr>
              <w:t>mic</w:t>
            </w:r>
            <w:proofErr w:type="spellEnd"/>
            <w:r>
              <w:rPr>
                <w:rFonts w:ascii="宋体" w:hAnsi="宋体" w:cs="宋体" w:hint="eastAsia"/>
                <w:bCs/>
                <w:color w:val="000000"/>
                <w:sz w:val="24"/>
              </w:rPr>
              <w:t>；</w:t>
            </w:r>
          </w:p>
        </w:tc>
      </w:tr>
      <w:tr w:rsidR="00537A86" w:rsidTr="0049779E">
        <w:trPr>
          <w:trHeight w:val="589"/>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黑板右侧集成高拍仪，一体化内嵌式设计，抽拉式折叠展开式架构，钥匙锁机，整体方便。摄像头像素大于500w像素，帧率30帧，自动对焦功能</w:t>
            </w:r>
          </w:p>
        </w:tc>
      </w:tr>
      <w:tr w:rsidR="00537A86" w:rsidTr="0049779E">
        <w:trPr>
          <w:trHeight w:val="600"/>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无线MIC：配置2.4G无线麦克风, 传输距离≥15米，集2.4G无线发射器、拾音器和处理器于一体，保密性高，无串频；</w:t>
            </w:r>
          </w:p>
        </w:tc>
      </w:tr>
      <w:tr w:rsidR="00537A86" w:rsidTr="0049779E">
        <w:trPr>
          <w:trHeight w:val="600"/>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结构可拓展空气净化模组</w:t>
            </w:r>
          </w:p>
        </w:tc>
      </w:tr>
      <w:tr w:rsidR="00537A86" w:rsidTr="0049779E">
        <w:trPr>
          <w:trHeight w:val="153"/>
        </w:trPr>
        <w:tc>
          <w:tcPr>
            <w:tcW w:w="1192" w:type="dxa"/>
            <w:vMerge w:val="restart"/>
            <w:vAlign w:val="center"/>
          </w:tcPr>
          <w:p w:rsidR="00537A86" w:rsidRDefault="00537A86" w:rsidP="0049779E">
            <w:pPr>
              <w:snapToGrid w:val="0"/>
              <w:spacing w:line="360" w:lineRule="auto"/>
              <w:contextualSpacing/>
              <w:jc w:val="left"/>
              <w:rPr>
                <w:rFonts w:ascii="宋体" w:hAnsi="宋体" w:cs="宋体"/>
                <w:bCs/>
                <w:color w:val="000000"/>
                <w:sz w:val="24"/>
              </w:rPr>
            </w:pPr>
            <w:r>
              <w:rPr>
                <w:rFonts w:ascii="宋体" w:hAnsi="宋体" w:cs="宋体" w:hint="eastAsia"/>
                <w:bCs/>
                <w:color w:val="000000"/>
                <w:sz w:val="24"/>
              </w:rPr>
              <w:t>智能推送</w:t>
            </w:r>
            <w:r>
              <w:rPr>
                <w:rFonts w:ascii="宋体" w:hAnsi="宋体" w:cs="宋体" w:hint="eastAsia"/>
                <w:bCs/>
                <w:color w:val="000000"/>
                <w:sz w:val="24"/>
              </w:rPr>
              <w:lastRenderedPageBreak/>
              <w:t>平台（自主研发）</w:t>
            </w:r>
            <w:r>
              <w:rPr>
                <w:rFonts w:ascii="宋体" w:hAnsi="宋体" w:cs="宋体" w:hint="eastAsia"/>
                <w:b/>
                <w:color w:val="000000"/>
                <w:sz w:val="24"/>
              </w:rPr>
              <w:t>*</w:t>
            </w: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lastRenderedPageBreak/>
              <w:t>配置智能教育辅助平台，支持中英文切换显示；</w:t>
            </w:r>
          </w:p>
        </w:tc>
      </w:tr>
      <w:tr w:rsidR="00537A86" w:rsidTr="0049779E">
        <w:trPr>
          <w:trHeight w:val="1087"/>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教学辅助工具采用了极简的设计理念，简化教师、学生操作：提供的电子白板、拉幕等功能便捷辅助日常教学；一键智能切换到智能推送系统、桌面、系统设置等；</w:t>
            </w:r>
          </w:p>
        </w:tc>
      </w:tr>
      <w:tr w:rsidR="00537A86" w:rsidTr="0049779E">
        <w:trPr>
          <w:trHeight w:val="1087"/>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软件课堂模式以浮标形式出现在显示屏桌面，教师可以任意拖动位子，悬浮按钮提供电子白板、拉幕等功能便捷辅助日常教学，老师也可以根据需求更改悬浮按钮的功能。</w:t>
            </w:r>
          </w:p>
        </w:tc>
      </w:tr>
      <w:tr w:rsidR="00537A86" w:rsidTr="0049779E">
        <w:trPr>
          <w:trHeight w:val="1087"/>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根据时间段（是否上课、课程科目信息）自动切换呈现方式，上课时自动退出，呈现出Windows系统，下课时自动弹出智能推送系统首页，根据课表自动分析展示内容等；</w:t>
            </w:r>
          </w:p>
        </w:tc>
      </w:tr>
      <w:tr w:rsidR="00537A86" w:rsidTr="0049779E">
        <w:trPr>
          <w:trHeight w:val="1111"/>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智能推送子系统为学生、任课教师搭建了完整的课前预习、课中辅助教学、课后精准推送作业、消息的智能课堂模式，帮助老师加速教学计划推进，营造良好的校园班级文化氛围；</w:t>
            </w:r>
          </w:p>
        </w:tc>
      </w:tr>
      <w:tr w:rsidR="00537A86" w:rsidTr="0049779E">
        <w:trPr>
          <w:trHeight w:val="668"/>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系统功能包含发布新闻、活动、通知、班级信息、作业、教学计划、每日一新、课表、值日表、模板拓展；</w:t>
            </w:r>
          </w:p>
        </w:tc>
      </w:tr>
      <w:tr w:rsidR="00537A86" w:rsidTr="0049779E">
        <w:trPr>
          <w:trHeight w:val="932"/>
        </w:trPr>
        <w:tc>
          <w:tcPr>
            <w:tcW w:w="1192" w:type="dxa"/>
            <w:vMerge w:val="restart"/>
            <w:vAlign w:val="center"/>
          </w:tcPr>
          <w:p w:rsidR="00537A86" w:rsidRDefault="00537A86" w:rsidP="0049779E">
            <w:pPr>
              <w:snapToGrid w:val="0"/>
              <w:spacing w:line="360" w:lineRule="auto"/>
              <w:contextualSpacing/>
              <w:jc w:val="left"/>
              <w:rPr>
                <w:rFonts w:ascii="宋体" w:hAnsi="宋体" w:cs="宋体"/>
                <w:bCs/>
                <w:color w:val="000000"/>
                <w:sz w:val="24"/>
              </w:rPr>
            </w:pPr>
            <w:r>
              <w:rPr>
                <w:rFonts w:ascii="宋体" w:hAnsi="宋体" w:cs="宋体" w:hint="eastAsia"/>
                <w:bCs/>
                <w:color w:val="000000"/>
                <w:sz w:val="24"/>
              </w:rPr>
              <w:t xml:space="preserve"> 后台管理系（自主研发）</w:t>
            </w: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监控管理子系统为电教教师、管理者提供新闻活动通知、设备管理、设备监控、人员管理、权限维护等功能，仅需简单操作即可将信息推送到指定（或全部）智能设备上；</w:t>
            </w:r>
          </w:p>
        </w:tc>
      </w:tr>
      <w:tr w:rsidR="00537A86" w:rsidTr="0049779E">
        <w:trPr>
          <w:trHeight w:val="742"/>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可以从全局视角俯瞰相关数据信息，更便捷直观地维护教学环节中各角色的信息统计信息；</w:t>
            </w:r>
          </w:p>
        </w:tc>
      </w:tr>
      <w:tr w:rsidR="00537A86" w:rsidTr="0049779E">
        <w:trPr>
          <w:trHeight w:val="932"/>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系统功能包含设备管理、设备监控、设备使用过程截图；考勤管理（班级考勤、教师考勤）发布新闻、发布活动、发布通知、权限管理、用户管理、教室管理、科目管理、时段管理、客户单版本；</w:t>
            </w:r>
          </w:p>
        </w:tc>
      </w:tr>
      <w:tr w:rsidR="00537A86" w:rsidTr="0049779E">
        <w:trPr>
          <w:trHeight w:val="369"/>
        </w:trPr>
        <w:tc>
          <w:tcPr>
            <w:tcW w:w="1192" w:type="dxa"/>
            <w:vMerge/>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p>
        </w:tc>
        <w:tc>
          <w:tcPr>
            <w:tcW w:w="7575" w:type="dxa"/>
            <w:vAlign w:val="center"/>
          </w:tcPr>
          <w:p w:rsidR="00537A86" w:rsidRDefault="00537A86" w:rsidP="0049779E">
            <w:pPr>
              <w:snapToGrid w:val="0"/>
              <w:spacing w:line="360" w:lineRule="auto"/>
              <w:ind w:firstLineChars="100" w:firstLine="240"/>
              <w:contextualSpacing/>
              <w:jc w:val="left"/>
              <w:rPr>
                <w:rFonts w:ascii="宋体" w:hAnsi="宋体" w:cs="宋体"/>
                <w:bCs/>
                <w:color w:val="000000"/>
                <w:sz w:val="24"/>
              </w:rPr>
            </w:pPr>
            <w:r>
              <w:rPr>
                <w:rFonts w:ascii="宋体" w:hAnsi="宋体" w:cs="宋体" w:hint="eastAsia"/>
                <w:bCs/>
                <w:color w:val="000000"/>
                <w:sz w:val="24"/>
              </w:rPr>
              <w:t>空气净化系统控制软件，显示空气质量</w:t>
            </w:r>
          </w:p>
        </w:tc>
      </w:tr>
      <w:tr w:rsidR="00537A86" w:rsidTr="0049779E">
        <w:trPr>
          <w:trHeight w:val="369"/>
        </w:trPr>
        <w:tc>
          <w:tcPr>
            <w:tcW w:w="1192" w:type="dxa"/>
            <w:vMerge w:val="restart"/>
            <w:vAlign w:val="center"/>
          </w:tcPr>
          <w:p w:rsidR="00537A86" w:rsidRDefault="00537A86" w:rsidP="0049779E">
            <w:pPr>
              <w:jc w:val="center"/>
              <w:rPr>
                <w:rFonts w:ascii="宋体" w:hAnsi="宋体" w:cs="宋体"/>
                <w:bCs/>
                <w:color w:val="000000"/>
                <w:sz w:val="24"/>
              </w:rPr>
            </w:pPr>
            <w:r>
              <w:rPr>
                <w:rFonts w:ascii="宋体" w:hAnsi="宋体" w:cs="宋体" w:hint="eastAsia"/>
                <w:bCs/>
                <w:color w:val="000000"/>
                <w:sz w:val="24"/>
              </w:rPr>
              <w:t>售后服务</w:t>
            </w:r>
          </w:p>
        </w:tc>
        <w:tc>
          <w:tcPr>
            <w:tcW w:w="7575" w:type="dxa"/>
            <w:tcBorders>
              <w:top w:val="single" w:sz="4" w:space="0" w:color="auto"/>
              <w:left w:val="single" w:sz="4" w:space="0" w:color="auto"/>
              <w:bottom w:val="single" w:sz="4" w:space="0" w:color="auto"/>
              <w:right w:val="single" w:sz="4" w:space="0" w:color="auto"/>
            </w:tcBorders>
            <w:vAlign w:val="center"/>
          </w:tcPr>
          <w:p w:rsidR="00537A86" w:rsidRDefault="00537A86" w:rsidP="0049779E">
            <w:pPr>
              <w:snapToGrid w:val="0"/>
              <w:spacing w:line="360" w:lineRule="auto"/>
              <w:contextualSpacing/>
              <w:jc w:val="left"/>
              <w:rPr>
                <w:rFonts w:ascii="宋体" w:hAnsi="宋体" w:cs="宋体"/>
                <w:bCs/>
                <w:color w:val="000000"/>
                <w:sz w:val="24"/>
              </w:rPr>
            </w:pPr>
            <w:r>
              <w:rPr>
                <w:rFonts w:ascii="宋体" w:hAnsi="宋体" w:cs="宋体" w:hint="eastAsia"/>
                <w:bCs/>
                <w:color w:val="000000"/>
                <w:sz w:val="24"/>
              </w:rPr>
              <w:t>终身免费获取客户端最新版本；</w:t>
            </w:r>
          </w:p>
        </w:tc>
      </w:tr>
      <w:tr w:rsidR="00537A86" w:rsidTr="0049779E">
        <w:trPr>
          <w:trHeight w:val="369"/>
        </w:trPr>
        <w:tc>
          <w:tcPr>
            <w:tcW w:w="1192" w:type="dxa"/>
            <w:vMerge/>
            <w:vAlign w:val="center"/>
          </w:tcPr>
          <w:p w:rsidR="00537A86" w:rsidRDefault="00537A86" w:rsidP="0049779E">
            <w:pPr>
              <w:widowControl/>
              <w:jc w:val="left"/>
              <w:textAlignment w:val="center"/>
              <w:rPr>
                <w:rFonts w:ascii="宋体" w:hAnsi="宋体" w:cs="宋体"/>
                <w:bCs/>
                <w:color w:val="000000"/>
                <w:sz w:val="24"/>
              </w:rPr>
            </w:pPr>
          </w:p>
        </w:tc>
        <w:tc>
          <w:tcPr>
            <w:tcW w:w="7575" w:type="dxa"/>
            <w:tcBorders>
              <w:top w:val="single" w:sz="4" w:space="0" w:color="auto"/>
              <w:left w:val="single" w:sz="4" w:space="0" w:color="auto"/>
              <w:bottom w:val="single" w:sz="4" w:space="0" w:color="auto"/>
              <w:right w:val="single" w:sz="4" w:space="0" w:color="auto"/>
            </w:tcBorders>
            <w:vAlign w:val="center"/>
          </w:tcPr>
          <w:p w:rsidR="00537A86" w:rsidRDefault="00537A86" w:rsidP="0049779E">
            <w:pPr>
              <w:snapToGrid w:val="0"/>
              <w:spacing w:line="360" w:lineRule="auto"/>
              <w:contextualSpacing/>
              <w:jc w:val="left"/>
              <w:rPr>
                <w:rFonts w:ascii="宋体" w:hAnsi="宋体" w:cs="宋体"/>
                <w:bCs/>
                <w:color w:val="000000"/>
                <w:sz w:val="24"/>
              </w:rPr>
            </w:pPr>
            <w:r>
              <w:rPr>
                <w:rFonts w:ascii="宋体" w:hAnsi="宋体" w:cs="宋体" w:hint="eastAsia"/>
                <w:bCs/>
                <w:color w:val="000000"/>
                <w:sz w:val="24"/>
              </w:rPr>
              <w:t>7*24小时技术支持；终身免费维护，12个月免费维护服务终端；</w:t>
            </w:r>
          </w:p>
        </w:tc>
      </w:tr>
      <w:tr w:rsidR="00537A86" w:rsidTr="0049779E">
        <w:trPr>
          <w:trHeight w:val="369"/>
        </w:trPr>
        <w:tc>
          <w:tcPr>
            <w:tcW w:w="1192" w:type="dxa"/>
            <w:vMerge/>
            <w:vAlign w:val="center"/>
          </w:tcPr>
          <w:p w:rsidR="00537A86" w:rsidRDefault="00537A86" w:rsidP="0049779E">
            <w:pPr>
              <w:widowControl/>
              <w:jc w:val="left"/>
              <w:textAlignment w:val="center"/>
              <w:rPr>
                <w:rFonts w:ascii="宋体" w:hAnsi="宋体" w:cs="宋体"/>
                <w:bCs/>
                <w:color w:val="000000"/>
                <w:sz w:val="24"/>
              </w:rPr>
            </w:pPr>
          </w:p>
        </w:tc>
        <w:tc>
          <w:tcPr>
            <w:tcW w:w="7575" w:type="dxa"/>
            <w:tcBorders>
              <w:top w:val="single" w:sz="4" w:space="0" w:color="auto"/>
              <w:left w:val="single" w:sz="4" w:space="0" w:color="auto"/>
              <w:bottom w:val="single" w:sz="4" w:space="0" w:color="auto"/>
              <w:right w:val="single" w:sz="4" w:space="0" w:color="auto"/>
            </w:tcBorders>
            <w:vAlign w:val="center"/>
          </w:tcPr>
          <w:p w:rsidR="00537A86" w:rsidRDefault="00537A86" w:rsidP="0049779E">
            <w:pPr>
              <w:snapToGrid w:val="0"/>
              <w:spacing w:line="360" w:lineRule="auto"/>
              <w:contextualSpacing/>
              <w:jc w:val="left"/>
              <w:rPr>
                <w:rFonts w:ascii="宋体" w:hAnsi="宋体" w:cs="宋体"/>
                <w:bCs/>
                <w:color w:val="000000"/>
                <w:sz w:val="24"/>
              </w:rPr>
            </w:pPr>
            <w:r>
              <w:rPr>
                <w:rFonts w:ascii="宋体" w:hAnsi="宋体" w:cs="宋体" w:hint="eastAsia"/>
                <w:bCs/>
                <w:color w:val="000000"/>
                <w:sz w:val="24"/>
              </w:rPr>
              <w:t>多元化实操培训：由持有教师资格证或教育从业经验的专业讲师，根据客户需求提供场景化实操培训教学；</w:t>
            </w:r>
          </w:p>
        </w:tc>
      </w:tr>
      <w:tr w:rsidR="00537A86" w:rsidTr="0049779E">
        <w:trPr>
          <w:trHeight w:val="369"/>
        </w:trPr>
        <w:tc>
          <w:tcPr>
            <w:tcW w:w="1192" w:type="dxa"/>
            <w:vMerge/>
            <w:vAlign w:val="center"/>
          </w:tcPr>
          <w:p w:rsidR="00537A86" w:rsidRDefault="00537A86" w:rsidP="0049779E">
            <w:pPr>
              <w:widowControl/>
              <w:jc w:val="left"/>
              <w:textAlignment w:val="center"/>
              <w:rPr>
                <w:rFonts w:ascii="宋体" w:hAnsi="宋体" w:cs="宋体"/>
                <w:bCs/>
                <w:color w:val="000000"/>
                <w:sz w:val="24"/>
              </w:rPr>
            </w:pPr>
          </w:p>
        </w:tc>
        <w:tc>
          <w:tcPr>
            <w:tcW w:w="7575" w:type="dxa"/>
            <w:tcBorders>
              <w:top w:val="single" w:sz="4" w:space="0" w:color="auto"/>
              <w:left w:val="single" w:sz="4" w:space="0" w:color="auto"/>
              <w:bottom w:val="single" w:sz="4" w:space="0" w:color="auto"/>
              <w:right w:val="single" w:sz="4" w:space="0" w:color="auto"/>
            </w:tcBorders>
            <w:vAlign w:val="center"/>
          </w:tcPr>
          <w:p w:rsidR="00537A86" w:rsidRDefault="00537A86" w:rsidP="0049779E">
            <w:pPr>
              <w:snapToGrid w:val="0"/>
              <w:spacing w:line="360" w:lineRule="auto"/>
              <w:contextualSpacing/>
              <w:jc w:val="left"/>
              <w:rPr>
                <w:rFonts w:ascii="宋体" w:hAnsi="宋体" w:cs="宋体"/>
                <w:bCs/>
                <w:color w:val="000000"/>
                <w:sz w:val="24"/>
              </w:rPr>
            </w:pPr>
            <w:r>
              <w:rPr>
                <w:rFonts w:ascii="宋体" w:hAnsi="宋体" w:cs="宋体" w:hint="eastAsia"/>
                <w:bCs/>
                <w:color w:val="000000"/>
                <w:sz w:val="24"/>
              </w:rPr>
              <w:t>特性化售后服务：对用户使用习惯、特性需求如重大节点等建立档案，提供针对性、长期性售后服务；</w:t>
            </w:r>
          </w:p>
        </w:tc>
      </w:tr>
    </w:tbl>
    <w:p w:rsidR="00537A86" w:rsidRDefault="00537A86" w:rsidP="00537A86">
      <w:pPr>
        <w:spacing w:line="360" w:lineRule="auto"/>
        <w:rPr>
          <w:rFonts w:ascii="宋体" w:hAnsi="宋体" w:hint="eastAsia"/>
          <w:b/>
          <w:color w:val="000000"/>
          <w:sz w:val="24"/>
        </w:rPr>
      </w:pPr>
      <w:r>
        <w:rPr>
          <w:rFonts w:ascii="宋体" w:hAnsi="宋体" w:hint="eastAsia"/>
          <w:b/>
          <w:color w:val="000000"/>
          <w:sz w:val="24"/>
        </w:rPr>
        <w:lastRenderedPageBreak/>
        <w:t>【*】四．商务条款</w:t>
      </w:r>
    </w:p>
    <w:tbl>
      <w:tblPr>
        <w:tblW w:w="916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282"/>
        <w:gridCol w:w="7885"/>
      </w:tblGrid>
      <w:tr w:rsidR="00537A86" w:rsidTr="00537A86">
        <w:trPr>
          <w:trHeight w:val="1277"/>
          <w:jc w:val="center"/>
        </w:trPr>
        <w:tc>
          <w:tcPr>
            <w:tcW w:w="1282" w:type="dxa"/>
            <w:tcBorders>
              <w:top w:val="single" w:sz="4" w:space="0" w:color="auto"/>
              <w:left w:val="single" w:sz="4" w:space="0" w:color="auto"/>
              <w:bottom w:val="single" w:sz="4" w:space="0" w:color="auto"/>
              <w:right w:val="single" w:sz="4" w:space="0" w:color="auto"/>
            </w:tcBorders>
            <w:vAlign w:val="center"/>
          </w:tcPr>
          <w:p w:rsidR="00537A86" w:rsidRDefault="00537A86" w:rsidP="0049779E">
            <w:pPr>
              <w:snapToGrid w:val="0"/>
              <w:spacing w:line="320" w:lineRule="exact"/>
              <w:jc w:val="center"/>
              <w:rPr>
                <w:rFonts w:hAnsi="宋体"/>
                <w:color w:val="000000"/>
                <w:sz w:val="21"/>
                <w:szCs w:val="21"/>
              </w:rPr>
            </w:pPr>
            <w:r>
              <w:rPr>
                <w:rFonts w:hAnsi="宋体" w:hint="eastAsia"/>
                <w:color w:val="000000"/>
                <w:sz w:val="21"/>
                <w:szCs w:val="21"/>
              </w:rPr>
              <w:t>包装及运输</w:t>
            </w:r>
          </w:p>
        </w:tc>
        <w:tc>
          <w:tcPr>
            <w:tcW w:w="7885" w:type="dxa"/>
            <w:tcBorders>
              <w:top w:val="single" w:sz="4" w:space="0" w:color="auto"/>
              <w:left w:val="single" w:sz="4" w:space="0" w:color="auto"/>
              <w:bottom w:val="single" w:sz="4" w:space="0" w:color="auto"/>
              <w:right w:val="single" w:sz="4" w:space="0" w:color="auto"/>
            </w:tcBorders>
            <w:vAlign w:val="center"/>
          </w:tcPr>
          <w:p w:rsidR="00537A86" w:rsidRDefault="00537A86" w:rsidP="0049779E">
            <w:pPr>
              <w:snapToGrid w:val="0"/>
              <w:spacing w:line="320" w:lineRule="exact"/>
              <w:jc w:val="left"/>
              <w:rPr>
                <w:rFonts w:ascii="宋体" w:hAnsi="宋体" w:cs="仿宋_GB2312" w:hint="eastAsia"/>
                <w:color w:val="000000"/>
                <w:sz w:val="21"/>
                <w:szCs w:val="21"/>
              </w:rPr>
            </w:pPr>
            <w:r>
              <w:rPr>
                <w:rFonts w:ascii="宋体" w:hAnsi="宋体" w:cs="仿宋_GB2312" w:hint="eastAsia"/>
                <w:color w:val="000000"/>
                <w:sz w:val="21"/>
                <w:szCs w:val="21"/>
              </w:rPr>
              <w:t>1.产品包装应符合国家或专业（部）标准规定。货物的交付时，应附有产品合格证书（包括合格证、部件合格证、材料合格证等）、产品说明书、装箱单、易损件、备件及专用工具清单等，一套完整的技术文件资料。</w:t>
            </w:r>
          </w:p>
          <w:p w:rsidR="00537A86" w:rsidRDefault="00537A86" w:rsidP="0049779E">
            <w:pPr>
              <w:snapToGrid w:val="0"/>
              <w:spacing w:line="320" w:lineRule="exact"/>
              <w:jc w:val="left"/>
              <w:rPr>
                <w:rFonts w:ascii="宋体" w:hAnsi="宋体" w:cs="仿宋_GB2312" w:hint="eastAsia"/>
                <w:color w:val="000000"/>
                <w:sz w:val="21"/>
                <w:szCs w:val="21"/>
              </w:rPr>
            </w:pPr>
            <w:r>
              <w:rPr>
                <w:rFonts w:ascii="宋体" w:hAnsi="宋体" w:cs="仿宋_GB2312" w:hint="eastAsia"/>
                <w:color w:val="000000"/>
                <w:sz w:val="21"/>
                <w:szCs w:val="21"/>
              </w:rPr>
              <w:t>2．供货方应保证所供货物是全新的、未使用过的货物。供货方应保证其货物在正确安装、正常使用和保养条件下，在建筑物使用寿命内应确保正常使用。</w:t>
            </w:r>
          </w:p>
          <w:p w:rsidR="00537A86" w:rsidRDefault="00537A86" w:rsidP="0049779E">
            <w:pPr>
              <w:snapToGrid w:val="0"/>
              <w:spacing w:line="320" w:lineRule="exact"/>
              <w:jc w:val="left"/>
              <w:rPr>
                <w:rFonts w:ascii="宋体" w:hAnsi="宋体" w:cs="仿宋_GB2312"/>
                <w:color w:val="000000"/>
                <w:sz w:val="21"/>
                <w:szCs w:val="21"/>
              </w:rPr>
            </w:pPr>
            <w:r>
              <w:rPr>
                <w:rFonts w:ascii="宋体" w:hAnsi="宋体" w:cs="仿宋_GB2312" w:hint="eastAsia"/>
                <w:color w:val="000000"/>
                <w:sz w:val="21"/>
                <w:szCs w:val="21"/>
              </w:rPr>
              <w:t>3.供方应负责设备的途中运输，对途中运输的安全负责。</w:t>
            </w:r>
          </w:p>
        </w:tc>
      </w:tr>
      <w:tr w:rsidR="00537A86" w:rsidTr="00537A86">
        <w:trPr>
          <w:trHeight w:val="135"/>
          <w:jc w:val="center"/>
        </w:trPr>
        <w:tc>
          <w:tcPr>
            <w:tcW w:w="1282" w:type="dxa"/>
            <w:tcBorders>
              <w:top w:val="single" w:sz="4" w:space="0" w:color="auto"/>
              <w:left w:val="single" w:sz="4" w:space="0" w:color="auto"/>
              <w:bottom w:val="single" w:sz="4" w:space="0" w:color="auto"/>
              <w:right w:val="single" w:sz="4" w:space="0" w:color="auto"/>
            </w:tcBorders>
            <w:vAlign w:val="center"/>
          </w:tcPr>
          <w:p w:rsidR="00537A86" w:rsidRDefault="00537A86" w:rsidP="0049779E">
            <w:pPr>
              <w:snapToGrid w:val="0"/>
              <w:spacing w:line="320" w:lineRule="exact"/>
              <w:rPr>
                <w:rFonts w:hAnsi="宋体" w:hint="eastAsia"/>
                <w:color w:val="000000"/>
                <w:sz w:val="21"/>
                <w:szCs w:val="21"/>
              </w:rPr>
            </w:pPr>
            <w:r>
              <w:rPr>
                <w:rFonts w:hAnsi="宋体" w:hint="eastAsia"/>
                <w:color w:val="000000"/>
                <w:sz w:val="21"/>
                <w:szCs w:val="21"/>
              </w:rPr>
              <w:t>合格标准</w:t>
            </w:r>
          </w:p>
        </w:tc>
        <w:tc>
          <w:tcPr>
            <w:tcW w:w="7885" w:type="dxa"/>
            <w:tcBorders>
              <w:top w:val="single" w:sz="4" w:space="0" w:color="auto"/>
              <w:left w:val="single" w:sz="4" w:space="0" w:color="auto"/>
              <w:bottom w:val="single" w:sz="4" w:space="0" w:color="auto"/>
              <w:right w:val="single" w:sz="4" w:space="0" w:color="auto"/>
            </w:tcBorders>
            <w:vAlign w:val="center"/>
          </w:tcPr>
          <w:p w:rsidR="00537A86" w:rsidRDefault="00537A86" w:rsidP="0049779E">
            <w:pPr>
              <w:snapToGrid w:val="0"/>
              <w:spacing w:line="320" w:lineRule="exact"/>
              <w:jc w:val="left"/>
              <w:rPr>
                <w:rFonts w:ascii="宋体" w:hAnsi="宋体" w:cs="仿宋_GB2312" w:hint="eastAsia"/>
                <w:color w:val="000000"/>
                <w:sz w:val="21"/>
                <w:szCs w:val="21"/>
              </w:rPr>
            </w:pPr>
            <w:r>
              <w:rPr>
                <w:rFonts w:ascii="宋体" w:hAnsi="宋体" w:cs="仿宋_GB2312" w:hint="eastAsia"/>
                <w:color w:val="000000"/>
                <w:sz w:val="21"/>
                <w:szCs w:val="21"/>
              </w:rPr>
              <w:t>一次性验收。</w:t>
            </w:r>
          </w:p>
        </w:tc>
      </w:tr>
      <w:tr w:rsidR="00537A86" w:rsidTr="00537A86">
        <w:trPr>
          <w:trHeight w:val="1277"/>
          <w:jc w:val="center"/>
        </w:trPr>
        <w:tc>
          <w:tcPr>
            <w:tcW w:w="1282" w:type="dxa"/>
            <w:tcBorders>
              <w:top w:val="single" w:sz="4" w:space="0" w:color="auto"/>
              <w:left w:val="single" w:sz="4" w:space="0" w:color="auto"/>
              <w:bottom w:val="single" w:sz="4" w:space="0" w:color="auto"/>
              <w:right w:val="single" w:sz="4" w:space="0" w:color="auto"/>
            </w:tcBorders>
            <w:vAlign w:val="center"/>
          </w:tcPr>
          <w:p w:rsidR="00537A86" w:rsidRDefault="00537A86" w:rsidP="0049779E">
            <w:pPr>
              <w:snapToGrid w:val="0"/>
              <w:spacing w:line="320" w:lineRule="exact"/>
              <w:jc w:val="center"/>
              <w:rPr>
                <w:rFonts w:hAnsi="宋体"/>
                <w:color w:val="000000"/>
                <w:sz w:val="21"/>
                <w:szCs w:val="21"/>
              </w:rPr>
            </w:pPr>
            <w:r>
              <w:rPr>
                <w:rFonts w:hAnsi="宋体" w:hint="eastAsia"/>
                <w:color w:val="000000"/>
                <w:sz w:val="21"/>
                <w:szCs w:val="21"/>
              </w:rPr>
              <w:t>质保期及售后服务</w:t>
            </w:r>
          </w:p>
        </w:tc>
        <w:tc>
          <w:tcPr>
            <w:tcW w:w="7885" w:type="dxa"/>
            <w:tcBorders>
              <w:top w:val="single" w:sz="4" w:space="0" w:color="auto"/>
              <w:left w:val="single" w:sz="4" w:space="0" w:color="auto"/>
              <w:bottom w:val="single" w:sz="4" w:space="0" w:color="auto"/>
              <w:right w:val="single" w:sz="4" w:space="0" w:color="auto"/>
            </w:tcBorders>
            <w:vAlign w:val="center"/>
          </w:tcPr>
          <w:p w:rsidR="00537A86" w:rsidRDefault="00537A86" w:rsidP="0049779E">
            <w:pPr>
              <w:snapToGrid w:val="0"/>
              <w:spacing w:line="320" w:lineRule="exact"/>
              <w:jc w:val="left"/>
              <w:rPr>
                <w:rFonts w:ascii="宋体" w:hAnsi="宋体" w:cs="仿宋_GB2312" w:hint="eastAsia"/>
                <w:color w:val="000000"/>
                <w:sz w:val="21"/>
                <w:szCs w:val="21"/>
              </w:rPr>
            </w:pPr>
            <w:r>
              <w:rPr>
                <w:rFonts w:ascii="宋体" w:hAnsi="宋体" w:cs="仿宋_GB2312" w:hint="eastAsia"/>
                <w:sz w:val="21"/>
                <w:szCs w:val="21"/>
              </w:rPr>
              <w:t>1.质保期</w:t>
            </w:r>
            <w:r>
              <w:rPr>
                <w:rFonts w:ascii="宋体" w:hAnsi="宋体" w:cs="仿宋_GB2312" w:hint="eastAsia"/>
                <w:b/>
                <w:bCs/>
                <w:sz w:val="21"/>
                <w:szCs w:val="21"/>
              </w:rPr>
              <w:t>3年</w:t>
            </w:r>
            <w:r>
              <w:rPr>
                <w:rFonts w:ascii="宋体" w:hAnsi="宋体" w:cs="仿宋_GB2312" w:hint="eastAsia"/>
                <w:sz w:val="21"/>
                <w:szCs w:val="21"/>
              </w:rPr>
              <w:t>，（厂家有</w:t>
            </w:r>
            <w:r>
              <w:rPr>
                <w:rFonts w:ascii="宋体" w:hAnsi="宋体" w:cs="仿宋_GB2312" w:hint="eastAsia"/>
                <w:color w:val="000000"/>
                <w:sz w:val="21"/>
                <w:szCs w:val="21"/>
              </w:rPr>
              <w:t>超过3年规定的按厂家规定执行）质保期从安装调试完毕，最终验收合格之日开始计算。除非采购人另有要求，质保期内的服务均为免费上门服务。</w:t>
            </w:r>
          </w:p>
          <w:p w:rsidR="00537A86" w:rsidRDefault="00537A86" w:rsidP="0049779E">
            <w:pPr>
              <w:snapToGrid w:val="0"/>
              <w:spacing w:line="320" w:lineRule="exact"/>
              <w:jc w:val="left"/>
              <w:rPr>
                <w:rFonts w:ascii="宋体" w:hAnsi="宋体" w:cs="仿宋_GB2312" w:hint="eastAsia"/>
                <w:color w:val="000000"/>
                <w:sz w:val="21"/>
                <w:szCs w:val="21"/>
              </w:rPr>
            </w:pPr>
            <w:r>
              <w:rPr>
                <w:rFonts w:ascii="宋体" w:hAnsi="宋体" w:cs="仿宋_GB2312" w:hint="eastAsia"/>
                <w:color w:val="000000"/>
                <w:sz w:val="21"/>
                <w:szCs w:val="21"/>
              </w:rPr>
              <w:t>2.在保修期内，采购人有故障申报，供货方须在半小时内电话响应并提供解决方案；若不能以电话方式解决故障，须在4小时内赶到现场24小时解决。若不能现场解决，须提供同等性能、同等质量的设备替换，以确保采购人的设备不中断使用；或与采购人协商解决。</w:t>
            </w:r>
          </w:p>
          <w:p w:rsidR="00537A86" w:rsidRDefault="00537A86" w:rsidP="0049779E">
            <w:pPr>
              <w:snapToGrid w:val="0"/>
              <w:spacing w:line="320" w:lineRule="exact"/>
              <w:jc w:val="left"/>
              <w:rPr>
                <w:rFonts w:ascii="宋体" w:hAnsi="宋体" w:cs="仿宋_GB2312" w:hint="eastAsia"/>
                <w:color w:val="000000"/>
                <w:sz w:val="21"/>
                <w:szCs w:val="21"/>
              </w:rPr>
            </w:pPr>
            <w:r>
              <w:rPr>
                <w:rFonts w:ascii="宋体" w:hAnsi="宋体" w:hint="eastAsia"/>
                <w:color w:val="000000"/>
                <w:sz w:val="21"/>
                <w:szCs w:val="21"/>
              </w:rPr>
              <w:t>3.保修期内，与维修相关的所有费用由供货方负责。</w:t>
            </w:r>
          </w:p>
        </w:tc>
      </w:tr>
      <w:tr w:rsidR="00537A86" w:rsidTr="00537A86">
        <w:trPr>
          <w:trHeight w:val="1277"/>
          <w:jc w:val="center"/>
        </w:trPr>
        <w:tc>
          <w:tcPr>
            <w:tcW w:w="1282" w:type="dxa"/>
            <w:tcBorders>
              <w:top w:val="single" w:sz="4" w:space="0" w:color="auto"/>
              <w:left w:val="single" w:sz="4" w:space="0" w:color="auto"/>
              <w:bottom w:val="single" w:sz="4" w:space="0" w:color="auto"/>
              <w:right w:val="single" w:sz="4" w:space="0" w:color="auto"/>
            </w:tcBorders>
            <w:vAlign w:val="center"/>
          </w:tcPr>
          <w:p w:rsidR="00537A86" w:rsidRDefault="00537A86" w:rsidP="0049779E">
            <w:pPr>
              <w:snapToGrid w:val="0"/>
              <w:spacing w:line="320" w:lineRule="exact"/>
              <w:jc w:val="center"/>
              <w:rPr>
                <w:rFonts w:hAnsi="宋体"/>
                <w:color w:val="000000"/>
                <w:sz w:val="21"/>
                <w:szCs w:val="21"/>
              </w:rPr>
            </w:pPr>
            <w:r>
              <w:rPr>
                <w:rFonts w:hAnsi="宋体" w:hint="eastAsia"/>
                <w:color w:val="000000"/>
                <w:sz w:val="21"/>
                <w:szCs w:val="21"/>
              </w:rPr>
              <w:t>项目投标报价要求</w:t>
            </w:r>
          </w:p>
        </w:tc>
        <w:tc>
          <w:tcPr>
            <w:tcW w:w="7885" w:type="dxa"/>
            <w:tcBorders>
              <w:top w:val="single" w:sz="4" w:space="0" w:color="auto"/>
              <w:left w:val="single" w:sz="4" w:space="0" w:color="auto"/>
              <w:bottom w:val="single" w:sz="4" w:space="0" w:color="auto"/>
              <w:right w:val="single" w:sz="4" w:space="0" w:color="auto"/>
            </w:tcBorders>
            <w:vAlign w:val="center"/>
          </w:tcPr>
          <w:p w:rsidR="00537A86" w:rsidRDefault="00537A86" w:rsidP="0049779E">
            <w:pPr>
              <w:snapToGrid w:val="0"/>
              <w:spacing w:line="320" w:lineRule="exact"/>
              <w:jc w:val="left"/>
              <w:rPr>
                <w:rFonts w:ascii="宋体" w:hAnsi="宋体" w:cs="仿宋_GB2312" w:hint="eastAsia"/>
                <w:color w:val="000000"/>
                <w:sz w:val="21"/>
                <w:szCs w:val="21"/>
              </w:rPr>
            </w:pPr>
            <w:r>
              <w:rPr>
                <w:rFonts w:ascii="宋体" w:hAnsi="宋体" w:cs="仿宋_GB2312" w:hint="eastAsia"/>
                <w:color w:val="000000"/>
                <w:sz w:val="21"/>
                <w:szCs w:val="21"/>
              </w:rPr>
              <w:t>1.投标报价包括产品购置费、运输费、安装调试费、验收费、技术服务费、质保期内维护费、辅料费、代理服务费和税金等，即投标人所投报的投标报价为投标人所能承受的整个项目的一次性最终最低报价,（成交价为本采购项目单价的总报价,每个设备单价不得超过其最高单价限价），如有漏项，视同已包含在其它项目中，合同总价和单价不做调整。</w:t>
            </w:r>
          </w:p>
          <w:p w:rsidR="00537A86" w:rsidRDefault="00537A86" w:rsidP="0049779E">
            <w:pPr>
              <w:snapToGrid w:val="0"/>
              <w:spacing w:line="320" w:lineRule="exact"/>
              <w:jc w:val="left"/>
              <w:rPr>
                <w:rFonts w:ascii="宋体" w:hAnsi="宋体" w:cs="仿宋_GB2312" w:hint="eastAsia"/>
                <w:color w:val="000000"/>
                <w:sz w:val="21"/>
                <w:szCs w:val="21"/>
              </w:rPr>
            </w:pPr>
            <w:r>
              <w:rPr>
                <w:rFonts w:ascii="宋体" w:hAnsi="宋体" w:cs="仿宋_GB2312" w:hint="eastAsia"/>
                <w:color w:val="000000"/>
                <w:sz w:val="21"/>
                <w:szCs w:val="21"/>
              </w:rPr>
              <w:t>2.按国家规定由成交人缴纳的各种税收已包含在投标总价内，由成交人向税务机关缴纳。</w:t>
            </w:r>
          </w:p>
          <w:p w:rsidR="00537A86" w:rsidRDefault="00537A86" w:rsidP="0049779E">
            <w:pPr>
              <w:snapToGrid w:val="0"/>
              <w:spacing w:line="320" w:lineRule="exact"/>
              <w:jc w:val="left"/>
              <w:rPr>
                <w:rFonts w:ascii="宋体" w:hAnsi="宋体" w:cs="仿宋_GB2312"/>
                <w:color w:val="000000"/>
                <w:sz w:val="21"/>
                <w:szCs w:val="21"/>
              </w:rPr>
            </w:pPr>
            <w:r>
              <w:rPr>
                <w:rFonts w:ascii="宋体" w:hAnsi="宋体" w:cs="仿宋_GB2312" w:hint="eastAsia"/>
                <w:color w:val="000000"/>
                <w:sz w:val="21"/>
                <w:szCs w:val="21"/>
              </w:rPr>
              <w:t>3.提供近期用户清单及成交价格和合同复印件。</w:t>
            </w:r>
          </w:p>
        </w:tc>
      </w:tr>
      <w:tr w:rsidR="00537A86" w:rsidTr="00537A86">
        <w:trPr>
          <w:trHeight w:val="721"/>
          <w:jc w:val="center"/>
        </w:trPr>
        <w:tc>
          <w:tcPr>
            <w:tcW w:w="1282" w:type="dxa"/>
            <w:tcBorders>
              <w:top w:val="single" w:sz="4" w:space="0" w:color="auto"/>
              <w:left w:val="single" w:sz="4" w:space="0" w:color="auto"/>
              <w:bottom w:val="single" w:sz="4" w:space="0" w:color="auto"/>
              <w:right w:val="single" w:sz="4" w:space="0" w:color="auto"/>
            </w:tcBorders>
            <w:vAlign w:val="center"/>
          </w:tcPr>
          <w:p w:rsidR="00537A86" w:rsidRDefault="00537A86" w:rsidP="0049779E">
            <w:pPr>
              <w:snapToGrid w:val="0"/>
              <w:spacing w:line="320" w:lineRule="exact"/>
              <w:jc w:val="center"/>
              <w:rPr>
                <w:rFonts w:hAnsi="宋体"/>
                <w:color w:val="000000"/>
                <w:sz w:val="21"/>
                <w:szCs w:val="21"/>
              </w:rPr>
            </w:pPr>
            <w:r>
              <w:rPr>
                <w:rFonts w:hAnsi="宋体" w:hint="eastAsia"/>
                <w:color w:val="000000"/>
                <w:sz w:val="21"/>
                <w:szCs w:val="21"/>
              </w:rPr>
              <w:t>交货时间及地点</w:t>
            </w:r>
          </w:p>
        </w:tc>
        <w:tc>
          <w:tcPr>
            <w:tcW w:w="7885" w:type="dxa"/>
            <w:tcBorders>
              <w:top w:val="single" w:sz="4" w:space="0" w:color="auto"/>
              <w:left w:val="single" w:sz="4" w:space="0" w:color="auto"/>
              <w:bottom w:val="single" w:sz="4" w:space="0" w:color="auto"/>
              <w:right w:val="single" w:sz="4" w:space="0" w:color="auto"/>
            </w:tcBorders>
            <w:vAlign w:val="center"/>
          </w:tcPr>
          <w:p w:rsidR="00537A86" w:rsidRDefault="00537A86" w:rsidP="0049779E">
            <w:pPr>
              <w:snapToGrid w:val="0"/>
              <w:spacing w:line="320" w:lineRule="exact"/>
              <w:jc w:val="left"/>
              <w:rPr>
                <w:rFonts w:ascii="宋体" w:hAnsi="宋体" w:hint="eastAsia"/>
                <w:sz w:val="21"/>
                <w:szCs w:val="21"/>
              </w:rPr>
            </w:pPr>
            <w:r>
              <w:rPr>
                <w:rFonts w:ascii="宋体" w:hAnsi="宋体" w:hint="eastAsia"/>
                <w:sz w:val="21"/>
                <w:szCs w:val="21"/>
              </w:rPr>
              <w:t>合同签订后20日历内完成项目的安装、调试与验收完毕。</w:t>
            </w:r>
          </w:p>
          <w:p w:rsidR="00537A86" w:rsidRDefault="00537A86" w:rsidP="0049779E">
            <w:pPr>
              <w:snapToGrid w:val="0"/>
              <w:spacing w:line="320" w:lineRule="exact"/>
              <w:jc w:val="left"/>
              <w:rPr>
                <w:rFonts w:ascii="宋体" w:hAnsi="宋体" w:cs="仿宋_GB2312"/>
                <w:sz w:val="21"/>
                <w:szCs w:val="21"/>
              </w:rPr>
            </w:pPr>
            <w:r>
              <w:rPr>
                <w:rFonts w:ascii="宋体" w:hAnsi="宋体" w:hint="eastAsia"/>
                <w:sz w:val="21"/>
                <w:szCs w:val="21"/>
              </w:rPr>
              <w:t>地点</w:t>
            </w:r>
            <w:r>
              <w:rPr>
                <w:rFonts w:ascii="宋体" w:hAnsi="宋体" w:cs="仿宋_GB2312" w:hint="eastAsia"/>
                <w:sz w:val="21"/>
                <w:szCs w:val="21"/>
              </w:rPr>
              <w:t>：</w:t>
            </w:r>
            <w:r>
              <w:rPr>
                <w:rFonts w:ascii="宋体" w:hAnsi="宋体" w:hint="eastAsia"/>
                <w:sz w:val="21"/>
                <w:szCs w:val="21"/>
              </w:rPr>
              <w:t>由</w:t>
            </w:r>
            <w:r>
              <w:rPr>
                <w:rFonts w:ascii="宋体" w:hAnsi="宋体" w:hint="eastAsia"/>
                <w:b/>
                <w:bCs/>
                <w:sz w:val="21"/>
                <w:szCs w:val="21"/>
                <w:u w:val="single"/>
              </w:rPr>
              <w:t>兰溪市青少年宫内。</w:t>
            </w:r>
          </w:p>
        </w:tc>
      </w:tr>
      <w:tr w:rsidR="00537A86" w:rsidTr="00537A86">
        <w:trPr>
          <w:trHeight w:val="752"/>
          <w:jc w:val="center"/>
        </w:trPr>
        <w:tc>
          <w:tcPr>
            <w:tcW w:w="1282" w:type="dxa"/>
            <w:tcBorders>
              <w:top w:val="single" w:sz="4" w:space="0" w:color="auto"/>
              <w:left w:val="single" w:sz="4" w:space="0" w:color="auto"/>
              <w:bottom w:val="single" w:sz="4" w:space="0" w:color="auto"/>
              <w:right w:val="single" w:sz="4" w:space="0" w:color="auto"/>
            </w:tcBorders>
            <w:vAlign w:val="center"/>
          </w:tcPr>
          <w:p w:rsidR="00537A86" w:rsidRDefault="00537A86" w:rsidP="0049779E">
            <w:pPr>
              <w:snapToGrid w:val="0"/>
              <w:spacing w:line="320" w:lineRule="exact"/>
              <w:rPr>
                <w:rFonts w:hAnsi="宋体" w:hint="eastAsia"/>
                <w:color w:val="000000"/>
                <w:sz w:val="21"/>
                <w:szCs w:val="21"/>
              </w:rPr>
            </w:pPr>
            <w:r>
              <w:rPr>
                <w:rFonts w:hAnsi="宋体" w:hint="eastAsia"/>
                <w:color w:val="000000"/>
                <w:sz w:val="21"/>
                <w:szCs w:val="21"/>
              </w:rPr>
              <w:t>安装要求</w:t>
            </w:r>
          </w:p>
        </w:tc>
        <w:tc>
          <w:tcPr>
            <w:tcW w:w="7885" w:type="dxa"/>
            <w:tcBorders>
              <w:top w:val="single" w:sz="4" w:space="0" w:color="auto"/>
              <w:left w:val="single" w:sz="4" w:space="0" w:color="auto"/>
              <w:bottom w:val="single" w:sz="4" w:space="0" w:color="auto"/>
              <w:right w:val="single" w:sz="4" w:space="0" w:color="auto"/>
            </w:tcBorders>
            <w:vAlign w:val="center"/>
          </w:tcPr>
          <w:p w:rsidR="00537A86" w:rsidRDefault="00537A86" w:rsidP="0049779E">
            <w:pPr>
              <w:snapToGrid w:val="0"/>
              <w:spacing w:line="320" w:lineRule="exact"/>
              <w:jc w:val="left"/>
              <w:rPr>
                <w:rFonts w:ascii="宋体" w:hAnsi="宋体" w:cs="仿宋_GB2312" w:hint="eastAsia"/>
                <w:bCs/>
                <w:color w:val="000000"/>
                <w:sz w:val="21"/>
                <w:szCs w:val="21"/>
              </w:rPr>
            </w:pPr>
            <w:r>
              <w:rPr>
                <w:rFonts w:ascii="宋体" w:hAnsi="宋体" w:cs="仿宋_GB2312" w:hint="eastAsia"/>
                <w:bCs/>
                <w:color w:val="000000"/>
                <w:sz w:val="21"/>
                <w:szCs w:val="21"/>
              </w:rPr>
              <w:t>供应商需保证采购人本次采购设备与原有设备稳定连接，经与采购人协商确认后，完成必需的服务工作，并承担全部工作责任。</w:t>
            </w:r>
          </w:p>
        </w:tc>
      </w:tr>
      <w:tr w:rsidR="00537A86" w:rsidTr="00537A86">
        <w:trPr>
          <w:trHeight w:val="407"/>
          <w:jc w:val="center"/>
        </w:trPr>
        <w:tc>
          <w:tcPr>
            <w:tcW w:w="1282" w:type="dxa"/>
            <w:tcBorders>
              <w:top w:val="single" w:sz="4" w:space="0" w:color="auto"/>
              <w:left w:val="single" w:sz="4" w:space="0" w:color="auto"/>
              <w:bottom w:val="single" w:sz="4" w:space="0" w:color="auto"/>
              <w:right w:val="single" w:sz="4" w:space="0" w:color="auto"/>
            </w:tcBorders>
            <w:vAlign w:val="center"/>
          </w:tcPr>
          <w:p w:rsidR="00537A86" w:rsidRDefault="00537A86" w:rsidP="0049779E">
            <w:pPr>
              <w:snapToGrid w:val="0"/>
              <w:spacing w:line="320" w:lineRule="exact"/>
              <w:rPr>
                <w:rFonts w:hAnsi="宋体"/>
                <w:color w:val="000000"/>
                <w:sz w:val="21"/>
                <w:szCs w:val="21"/>
              </w:rPr>
            </w:pPr>
            <w:r>
              <w:rPr>
                <w:rFonts w:hAnsi="宋体" w:hint="eastAsia"/>
                <w:color w:val="000000"/>
                <w:sz w:val="21"/>
                <w:szCs w:val="21"/>
              </w:rPr>
              <w:t>验收标准及要求</w:t>
            </w:r>
          </w:p>
        </w:tc>
        <w:tc>
          <w:tcPr>
            <w:tcW w:w="7885" w:type="dxa"/>
            <w:tcBorders>
              <w:top w:val="single" w:sz="4" w:space="0" w:color="auto"/>
              <w:left w:val="single" w:sz="4" w:space="0" w:color="auto"/>
              <w:bottom w:val="single" w:sz="4" w:space="0" w:color="auto"/>
              <w:right w:val="single" w:sz="4" w:space="0" w:color="auto"/>
            </w:tcBorders>
            <w:vAlign w:val="center"/>
          </w:tcPr>
          <w:p w:rsidR="00537A86" w:rsidRDefault="00537A86" w:rsidP="0049779E">
            <w:pPr>
              <w:snapToGrid w:val="0"/>
              <w:spacing w:line="320" w:lineRule="exact"/>
              <w:jc w:val="left"/>
              <w:rPr>
                <w:rFonts w:ascii="宋体" w:hAnsi="宋体" w:cs="仿宋_GB2312" w:hint="eastAsia"/>
                <w:bCs/>
                <w:color w:val="000000"/>
                <w:sz w:val="21"/>
                <w:szCs w:val="21"/>
              </w:rPr>
            </w:pPr>
            <w:r>
              <w:rPr>
                <w:rFonts w:ascii="宋体" w:hAnsi="宋体" w:cs="仿宋_GB2312" w:hint="eastAsia"/>
                <w:bCs/>
                <w:color w:val="000000"/>
                <w:sz w:val="21"/>
                <w:szCs w:val="21"/>
              </w:rPr>
              <w:t>根据中华人民共和国现行技术标准，按招标文件以及合同规定的验收评定标准等规范，由</w:t>
            </w:r>
            <w:r>
              <w:rPr>
                <w:rFonts w:ascii="宋体" w:hAnsi="宋体" w:cs="仿宋_GB2312" w:hint="eastAsia"/>
                <w:b/>
                <w:bCs/>
                <w:color w:val="000000"/>
                <w:sz w:val="21"/>
                <w:szCs w:val="21"/>
                <w:u w:val="single"/>
              </w:rPr>
              <w:t>兰溪市青少年宫</w:t>
            </w:r>
            <w:r>
              <w:rPr>
                <w:rFonts w:ascii="宋体" w:hAnsi="宋体" w:cs="仿宋_GB2312" w:hint="eastAsia"/>
                <w:bCs/>
                <w:color w:val="000000"/>
                <w:sz w:val="21"/>
                <w:szCs w:val="21"/>
              </w:rPr>
              <w:t>统一组织验收。</w:t>
            </w:r>
          </w:p>
          <w:p w:rsidR="00537A86" w:rsidRDefault="00537A86" w:rsidP="0049779E">
            <w:pPr>
              <w:snapToGrid w:val="0"/>
              <w:spacing w:line="320" w:lineRule="exact"/>
              <w:jc w:val="left"/>
              <w:rPr>
                <w:rFonts w:ascii="宋体" w:hAnsi="宋体" w:cs="仿宋_GB2312" w:hint="eastAsia"/>
                <w:bCs/>
                <w:color w:val="000000"/>
                <w:sz w:val="21"/>
                <w:szCs w:val="21"/>
              </w:rPr>
            </w:pPr>
            <w:r>
              <w:rPr>
                <w:rFonts w:ascii="宋体" w:hAnsi="宋体" w:cs="仿宋_GB2312" w:hint="eastAsia"/>
                <w:bCs/>
                <w:color w:val="000000"/>
                <w:sz w:val="21"/>
                <w:szCs w:val="21"/>
              </w:rPr>
              <w:t>1.验收在时间根据项目建设情况，由招标人确定验收时间，招标人提出要求后成交人必须按照招标要求及用招标人的要求准备完整的验收材料。</w:t>
            </w:r>
          </w:p>
          <w:p w:rsidR="00537A86" w:rsidRDefault="00537A86" w:rsidP="0049779E">
            <w:pPr>
              <w:snapToGrid w:val="0"/>
              <w:spacing w:line="320" w:lineRule="exact"/>
              <w:jc w:val="left"/>
              <w:rPr>
                <w:rFonts w:ascii="宋体" w:hAnsi="宋体" w:cs="仿宋_GB2312" w:hint="eastAsia"/>
                <w:bCs/>
                <w:color w:val="000000"/>
                <w:sz w:val="21"/>
                <w:szCs w:val="21"/>
              </w:rPr>
            </w:pPr>
            <w:r>
              <w:rPr>
                <w:rFonts w:ascii="宋体" w:hAnsi="宋体" w:cs="仿宋_GB2312" w:hint="eastAsia"/>
                <w:bCs/>
                <w:color w:val="000000"/>
                <w:sz w:val="21"/>
                <w:szCs w:val="21"/>
              </w:rPr>
              <w:t>2.验收由用招标人组织专家组进行验收或按照相关验收程序进行，同时 根据具体情况招标人可以邀请主要设备厂家代表协助用户方进行验收</w:t>
            </w:r>
          </w:p>
          <w:p w:rsidR="00537A86" w:rsidRDefault="00537A86" w:rsidP="0049779E">
            <w:pPr>
              <w:snapToGrid w:val="0"/>
              <w:spacing w:line="320" w:lineRule="exact"/>
              <w:jc w:val="left"/>
              <w:rPr>
                <w:rFonts w:ascii="宋体" w:hAnsi="宋体" w:cs="仿宋_GB2312"/>
                <w:bCs/>
                <w:color w:val="000000"/>
                <w:sz w:val="21"/>
                <w:szCs w:val="21"/>
              </w:rPr>
            </w:pPr>
            <w:r>
              <w:rPr>
                <w:rFonts w:ascii="宋体" w:hAnsi="宋体" w:cs="仿宋_GB2312" w:hint="eastAsia"/>
                <w:bCs/>
                <w:color w:val="000000"/>
                <w:sz w:val="21"/>
                <w:szCs w:val="21"/>
              </w:rPr>
              <w:t>3.最终验收时，成交人必须取得关键设备几个原厂达到招标文件要求的设备（列明设备型号、序列号、数量、配置）质保确认函，提供不出不予验收，成交人必须主动向用户方报告提供不出的真实原因，取得用户方延迟验收的认可。同时成交人必须在验收时间到后一周内更换成得到原厂家认可的达到招标文件要求的保修设备。超过时间达不到要求的，报采购机关处理。</w:t>
            </w:r>
          </w:p>
        </w:tc>
      </w:tr>
      <w:tr w:rsidR="00537A86" w:rsidTr="00537A86">
        <w:trPr>
          <w:trHeight w:val="752"/>
          <w:jc w:val="center"/>
        </w:trPr>
        <w:tc>
          <w:tcPr>
            <w:tcW w:w="1282" w:type="dxa"/>
            <w:tcBorders>
              <w:top w:val="single" w:sz="4" w:space="0" w:color="auto"/>
              <w:left w:val="single" w:sz="4" w:space="0" w:color="auto"/>
              <w:bottom w:val="single" w:sz="4" w:space="0" w:color="auto"/>
              <w:right w:val="single" w:sz="4" w:space="0" w:color="auto"/>
            </w:tcBorders>
            <w:vAlign w:val="center"/>
          </w:tcPr>
          <w:p w:rsidR="00537A86" w:rsidRDefault="00537A86" w:rsidP="0049779E">
            <w:pPr>
              <w:snapToGrid w:val="0"/>
              <w:spacing w:line="320" w:lineRule="exact"/>
              <w:rPr>
                <w:rFonts w:hAnsi="宋体"/>
                <w:color w:val="000000"/>
                <w:sz w:val="21"/>
                <w:szCs w:val="21"/>
              </w:rPr>
            </w:pPr>
            <w:r>
              <w:rPr>
                <w:rFonts w:hAnsi="宋体" w:hint="eastAsia"/>
                <w:color w:val="000000"/>
                <w:sz w:val="21"/>
                <w:szCs w:val="21"/>
              </w:rPr>
              <w:t>付款条件</w:t>
            </w:r>
          </w:p>
        </w:tc>
        <w:tc>
          <w:tcPr>
            <w:tcW w:w="7885" w:type="dxa"/>
            <w:tcBorders>
              <w:top w:val="single" w:sz="4" w:space="0" w:color="auto"/>
              <w:left w:val="single" w:sz="4" w:space="0" w:color="auto"/>
              <w:bottom w:val="single" w:sz="4" w:space="0" w:color="auto"/>
              <w:right w:val="single" w:sz="4" w:space="0" w:color="auto"/>
            </w:tcBorders>
            <w:vAlign w:val="center"/>
          </w:tcPr>
          <w:p w:rsidR="00537A86" w:rsidRDefault="00537A86" w:rsidP="0049779E">
            <w:pPr>
              <w:spacing w:line="320" w:lineRule="exact"/>
              <w:jc w:val="left"/>
              <w:rPr>
                <w:rFonts w:ascii="宋体" w:hAnsi="宋体" w:cs="仿宋_GB2312" w:hint="eastAsia"/>
                <w:bCs/>
                <w:color w:val="FF0000"/>
                <w:sz w:val="21"/>
                <w:szCs w:val="21"/>
              </w:rPr>
            </w:pPr>
            <w:r>
              <w:rPr>
                <w:rFonts w:ascii="宋体" w:hAnsi="宋体" w:cs="仿宋_GB2312" w:hint="eastAsia"/>
                <w:bCs/>
                <w:sz w:val="21"/>
                <w:szCs w:val="21"/>
              </w:rPr>
              <w:t>1、货到安装调试到位并验收合格后支付合同款的95%，余款5%在正常运行满一年后一次付清</w:t>
            </w:r>
            <w:r>
              <w:rPr>
                <w:rFonts w:ascii="宋体" w:hAnsi="宋体" w:cs="仿宋_GB2312" w:hint="eastAsia"/>
                <w:bCs/>
                <w:color w:val="FF0000"/>
                <w:sz w:val="21"/>
                <w:szCs w:val="21"/>
              </w:rPr>
              <w:t>。</w:t>
            </w:r>
          </w:p>
          <w:p w:rsidR="00537A86" w:rsidRDefault="00537A86" w:rsidP="0049779E">
            <w:pPr>
              <w:snapToGrid w:val="0"/>
              <w:spacing w:line="320" w:lineRule="exact"/>
              <w:jc w:val="left"/>
              <w:rPr>
                <w:rFonts w:ascii="宋体" w:hAnsi="宋体" w:cs="仿宋_GB2312"/>
                <w:bCs/>
                <w:color w:val="000000"/>
                <w:sz w:val="21"/>
                <w:szCs w:val="21"/>
              </w:rPr>
            </w:pPr>
            <w:r>
              <w:rPr>
                <w:rFonts w:ascii="宋体" w:hAnsi="宋体" w:cs="仿宋_GB2312" w:hint="eastAsia"/>
                <w:bCs/>
                <w:color w:val="000000"/>
                <w:sz w:val="21"/>
                <w:szCs w:val="21"/>
              </w:rPr>
              <w:t>2、成交人在结算合同价款时须提供正式发票。</w:t>
            </w:r>
          </w:p>
        </w:tc>
      </w:tr>
    </w:tbl>
    <w:p w:rsidR="006A5BD7" w:rsidRDefault="00537A86"/>
    <w:sectPr w:rsidR="006A5BD7" w:rsidSect="00AF1C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7A86"/>
    <w:rsid w:val="00537A86"/>
    <w:rsid w:val="00AF1C78"/>
    <w:rsid w:val="00BC524C"/>
    <w:rsid w:val="00CD2F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A86"/>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2018-01-09T06:07:00Z</dcterms:created>
  <dcterms:modified xsi:type="dcterms:W3CDTF">2018-01-09T06:08:00Z</dcterms:modified>
</cp:coreProperties>
</file>