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兰溪经济开发区丹溪大道、环城西路等绿化养护采购项目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eastAsia="隶书"/>
          <w:b/>
          <w:sz w:val="90"/>
          <w:szCs w:val="90"/>
        </w:rPr>
      </w:pPr>
      <w:r>
        <w:rPr>
          <w:rFonts w:hint="eastAsia" w:eastAsia="隶书"/>
          <w:b/>
          <w:sz w:val="90"/>
          <w:szCs w:val="90"/>
        </w:rPr>
        <w:t>招</w:t>
      </w:r>
    </w:p>
    <w:p>
      <w:pPr>
        <w:jc w:val="center"/>
        <w:rPr>
          <w:rFonts w:hint="eastAsia" w:eastAsia="隶书"/>
          <w:b/>
          <w:sz w:val="90"/>
          <w:szCs w:val="90"/>
        </w:rPr>
      </w:pPr>
      <w:r>
        <w:rPr>
          <w:rFonts w:hint="eastAsia" w:eastAsia="隶书"/>
          <w:b/>
          <w:sz w:val="90"/>
          <w:szCs w:val="90"/>
        </w:rPr>
        <w:t>标</w:t>
      </w:r>
    </w:p>
    <w:p>
      <w:pPr>
        <w:jc w:val="center"/>
        <w:rPr>
          <w:rFonts w:hint="eastAsia" w:eastAsia="隶书"/>
          <w:b/>
          <w:sz w:val="90"/>
          <w:szCs w:val="90"/>
        </w:rPr>
      </w:pPr>
      <w:r>
        <w:rPr>
          <w:rFonts w:hint="eastAsia" w:eastAsia="隶书"/>
          <w:b/>
          <w:sz w:val="90"/>
          <w:szCs w:val="90"/>
        </w:rPr>
        <w:t>需</w:t>
      </w:r>
    </w:p>
    <w:p>
      <w:pPr>
        <w:jc w:val="center"/>
        <w:rPr>
          <w:rFonts w:hint="eastAsia" w:eastAsia="隶书"/>
          <w:b/>
          <w:sz w:val="90"/>
          <w:szCs w:val="90"/>
        </w:rPr>
      </w:pPr>
      <w:r>
        <w:rPr>
          <w:rFonts w:hint="eastAsia" w:eastAsia="隶书"/>
          <w:b/>
          <w:sz w:val="90"/>
          <w:szCs w:val="90"/>
        </w:rPr>
        <w:t>求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浙江省兰溪经济开发区管理委员会</w:t>
      </w:r>
    </w:p>
    <w:p>
      <w:pPr>
        <w:jc w:val="center"/>
        <w:rPr>
          <w:rFonts w:hint="eastAsia"/>
          <w:b/>
          <w:color w:val="auto"/>
        </w:rPr>
      </w:pPr>
      <w:r>
        <w:rPr>
          <w:rFonts w:hint="eastAsia"/>
          <w:sz w:val="32"/>
          <w:szCs w:val="32"/>
        </w:rPr>
        <w:t>二〇一</w:t>
      </w:r>
      <w:r>
        <w:rPr>
          <w:rFonts w:hint="eastAsia"/>
          <w:sz w:val="32"/>
          <w:szCs w:val="32"/>
          <w:lang w:eastAsia="zh-CN"/>
        </w:rPr>
        <w:t>八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月</w:t>
      </w:r>
    </w:p>
    <w:p>
      <w:pPr>
        <w:snapToGrid w:val="0"/>
        <w:spacing w:line="300" w:lineRule="exact"/>
        <w:ind w:left="238"/>
        <w:jc w:val="center"/>
        <w:rPr>
          <w:b/>
          <w:bCs/>
          <w:sz w:val="32"/>
          <w:szCs w:val="32"/>
        </w:rPr>
      </w:pPr>
    </w:p>
    <w:p>
      <w:pPr>
        <w:snapToGrid w:val="0"/>
        <w:spacing w:line="300" w:lineRule="exact"/>
        <w:ind w:left="238"/>
        <w:jc w:val="center"/>
        <w:rPr>
          <w:b/>
          <w:bCs/>
          <w:sz w:val="32"/>
          <w:szCs w:val="32"/>
        </w:rPr>
      </w:pPr>
    </w:p>
    <w:p>
      <w:pPr>
        <w:pStyle w:val="3"/>
        <w:numPr>
          <w:ilvl w:val="0"/>
          <w:numId w:val="1"/>
        </w:numPr>
        <w:snapToGrid w:val="0"/>
        <w:spacing w:before="120" w:after="120" w:line="440" w:lineRule="exact"/>
        <w:ind w:firstLine="179" w:firstLineChars="85"/>
        <w:outlineLvl w:val="1"/>
        <w:rPr>
          <w:rFonts w:hint="default" w:ascii="Times New Roman" w:hAnsi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/>
          <w:b/>
          <w:color w:val="auto"/>
          <w:sz w:val="21"/>
          <w:szCs w:val="21"/>
        </w:rPr>
        <w:t>项目编号：LXZTZC</w:t>
      </w:r>
      <w:r>
        <w:rPr>
          <w:rFonts w:ascii="Times New Roman" w:hAnsi="Times New Roman"/>
          <w:b/>
          <w:color w:val="auto"/>
          <w:sz w:val="21"/>
          <w:szCs w:val="21"/>
        </w:rPr>
        <w:t>201</w:t>
      </w:r>
      <w:r>
        <w:rPr>
          <w:rFonts w:hint="eastAsia" w:ascii="Times New Roman" w:hAnsi="Times New Roman"/>
          <w:b/>
          <w:color w:val="auto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/>
          <w:b/>
          <w:color w:val="auto"/>
          <w:sz w:val="21"/>
          <w:szCs w:val="21"/>
        </w:rPr>
        <w:t>0</w:t>
      </w:r>
      <w:r>
        <w:rPr>
          <w:rFonts w:hint="eastAsia" w:ascii="Times New Roman" w:hAnsi="Times New Roman"/>
          <w:b/>
          <w:color w:val="auto"/>
          <w:sz w:val="21"/>
          <w:szCs w:val="21"/>
          <w:lang w:val="en-US" w:eastAsia="zh-CN"/>
        </w:rPr>
        <w:t xml:space="preserve">11 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>
      <w:pPr>
        <w:pStyle w:val="3"/>
        <w:snapToGrid w:val="0"/>
        <w:spacing w:before="120" w:after="120" w:line="440" w:lineRule="exact"/>
        <w:outlineLvl w:val="1"/>
        <w:rPr>
          <w:rFonts w:hint="default" w:ascii="Times New Roman" w:hAnsi="Times New Roman"/>
          <w:color w:val="auto"/>
          <w:sz w:val="21"/>
          <w:szCs w:val="21"/>
        </w:rPr>
      </w:pPr>
      <w:r>
        <w:rPr>
          <w:rFonts w:hint="default" w:ascii="Times New Roman" w:hAnsi="Times New Roman"/>
          <w:b/>
          <w:bCs/>
          <w:color w:val="auto"/>
          <w:sz w:val="21"/>
          <w:szCs w:val="21"/>
        </w:rPr>
        <w:t xml:space="preserve">  二、采购单位名称：</w:t>
      </w:r>
      <w:r>
        <w:rPr>
          <w:rFonts w:ascii="Times New Roman" w:hAnsi="Times New Roman"/>
          <w:color w:val="auto"/>
          <w:sz w:val="21"/>
          <w:szCs w:val="21"/>
        </w:rPr>
        <w:t>浙江省兰溪经济开发区管理委员会</w:t>
      </w:r>
    </w:p>
    <w:p>
      <w:pPr>
        <w:pStyle w:val="3"/>
        <w:snapToGrid w:val="0"/>
        <w:spacing w:before="120" w:after="120" w:line="440" w:lineRule="exact"/>
        <w:ind w:firstLine="179" w:firstLineChars="85"/>
        <w:outlineLvl w:val="1"/>
        <w:rPr>
          <w:rFonts w:hint="default" w:ascii="Times New Roman" w:hAnsi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/>
          <w:b/>
          <w:bCs/>
          <w:color w:val="auto"/>
          <w:sz w:val="21"/>
          <w:szCs w:val="21"/>
        </w:rPr>
        <w:t>三、项目名称：</w:t>
      </w:r>
      <w:r>
        <w:rPr>
          <w:rFonts w:hint="eastAsia" w:ascii="Times New Roman" w:hAnsi="Times New Roman"/>
          <w:bCs/>
          <w:color w:val="auto"/>
          <w:sz w:val="21"/>
          <w:szCs w:val="21"/>
          <w:lang w:eastAsia="zh-CN"/>
        </w:rPr>
        <w:t>兰溪经济开发区丹溪大道、环城西路等绿化养护采购项目</w:t>
      </w:r>
    </w:p>
    <w:p>
      <w:pPr>
        <w:spacing w:line="440" w:lineRule="exact"/>
        <w:ind w:firstLine="207" w:firstLineChars="98"/>
        <w:rPr>
          <w:rFonts w:hint="eastAsia" w:ascii="宋体" w:hAnsi="宋体" w:cs="宋体"/>
          <w:b/>
          <w:color w:val="auto"/>
          <w:kern w:val="0"/>
          <w:sz w:val="21"/>
          <w:szCs w:val="21"/>
          <w:lang w:bidi="ar"/>
        </w:rPr>
      </w:pPr>
      <w:r>
        <w:rPr>
          <w:b/>
          <w:bCs/>
          <w:color w:val="auto"/>
          <w:sz w:val="21"/>
          <w:szCs w:val="21"/>
        </w:rPr>
        <w:t>四、</w:t>
      </w:r>
      <w:r>
        <w:rPr>
          <w:rFonts w:hint="eastAsia"/>
          <w:b/>
          <w:color w:val="auto"/>
          <w:sz w:val="21"/>
          <w:szCs w:val="21"/>
        </w:rPr>
        <w:t>养护</w:t>
      </w:r>
      <w:r>
        <w:rPr>
          <w:b/>
          <w:color w:val="auto"/>
          <w:sz w:val="21"/>
          <w:szCs w:val="21"/>
        </w:rPr>
        <w:t>范围及内容：</w:t>
      </w:r>
      <w:r>
        <w:rPr>
          <w:rFonts w:hint="eastAsia"/>
          <w:b/>
          <w:color w:val="auto"/>
          <w:sz w:val="21"/>
          <w:szCs w:val="21"/>
        </w:rPr>
        <w:t>（</w:t>
      </w:r>
      <w:r>
        <w:rPr>
          <w:rFonts w:hint="eastAsia" w:ascii="宋体" w:hAnsi="宋体" w:cs="宋体"/>
          <w:b/>
          <w:color w:val="auto"/>
          <w:kern w:val="0"/>
          <w:sz w:val="21"/>
          <w:szCs w:val="21"/>
          <w:lang w:bidi="ar"/>
        </w:rPr>
        <w:t>范围以实际移交为准）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  <w:t>1、</w:t>
      </w:r>
      <w:r>
        <w:rPr>
          <w:rFonts w:hint="eastAsia"/>
          <w:b/>
          <w:color w:val="auto"/>
          <w:sz w:val="21"/>
          <w:szCs w:val="21"/>
        </w:rPr>
        <w:t>养护</w:t>
      </w:r>
      <w:r>
        <w:rPr>
          <w:b/>
          <w:color w:val="auto"/>
          <w:sz w:val="21"/>
          <w:szCs w:val="21"/>
        </w:rPr>
        <w:t>范围</w:t>
      </w:r>
      <w:r>
        <w:rPr>
          <w:rFonts w:hint="eastAsia"/>
          <w:b/>
          <w:color w:val="auto"/>
          <w:sz w:val="21"/>
          <w:szCs w:val="21"/>
        </w:rPr>
        <w:t>：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  <w:t>兰溪经济开发区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eastAsia="zh-CN" w:bidi="ar"/>
        </w:rPr>
        <w:t>丹溪大道、环城西路等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  <w:t>绿化养护范围主要包括：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eastAsia="zh-CN" w:bidi="ar"/>
        </w:rPr>
        <w:t>丹溪大道延伸段、丹溪大道（西环路至汪高红绿灯）、西环路疾控中心及车管所围墙边、振兴路、西环路（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val="en-US" w:eastAsia="zh-CN" w:bidi="ar"/>
        </w:rPr>
        <w:t>330国道至兰花路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eastAsia="zh-CN" w:bidi="ar"/>
        </w:rPr>
        <w:t>）、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val="en-US" w:eastAsia="zh-CN" w:bidi="ar"/>
        </w:rPr>
        <w:t>330国道与西环路交叉口、兰花路（西环路至南樵南路）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  <w:t>等路段的绿化。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eastAsia="zh-CN" w:bidi="ar"/>
        </w:rPr>
        <w:t>温塘边村口、振兴路（西环路至派出所）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lang w:bidi="ar"/>
        </w:rPr>
        <w:t>等路段的行道数养护。</w:t>
      </w:r>
    </w:p>
    <w:p>
      <w:pPr>
        <w:numPr>
          <w:ilvl w:val="0"/>
          <w:numId w:val="2"/>
        </w:numPr>
        <w:spacing w:line="430" w:lineRule="exact"/>
        <w:ind w:left="160" w:leftChars="57" w:firstLine="211" w:firstLineChars="100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t>养护</w:t>
      </w:r>
      <w:r>
        <w:rPr>
          <w:b/>
          <w:color w:val="auto"/>
          <w:sz w:val="21"/>
          <w:szCs w:val="21"/>
        </w:rPr>
        <w:t>内容</w:t>
      </w:r>
      <w:r>
        <w:rPr>
          <w:rFonts w:hint="eastAsia"/>
          <w:b/>
          <w:color w:val="auto"/>
          <w:sz w:val="21"/>
          <w:szCs w:val="21"/>
        </w:rPr>
        <w:t>：</w:t>
      </w:r>
    </w:p>
    <w:p>
      <w:pPr>
        <w:spacing w:line="430" w:lineRule="exact"/>
        <w:ind w:firstLine="420" w:firstLineChars="200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（1）招标范围内的绿地、乔木、灌木养护（包括除草、病虫害防治、整枝、修剪、抗旱、抗台、排捞、防冻、复壮、补植、灭芽、树穴松土及养护等）、常绿树敲雪、绿地卫生、保洁及绿化补种。</w:t>
      </w:r>
    </w:p>
    <w:p>
      <w:pPr>
        <w:pStyle w:val="2"/>
        <w:spacing w:line="430" w:lineRule="exact"/>
        <w:ind w:firstLine="418" w:firstLineChars="207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（2）在遇各类检查、评比及重大活动、节假日时，涉及承包范围内的应急的任何突击性任务。</w:t>
      </w:r>
    </w:p>
    <w:p>
      <w:pPr>
        <w:pStyle w:val="2"/>
        <w:spacing w:line="430" w:lineRule="exact"/>
        <w:ind w:firstLine="418" w:firstLineChars="207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（3）各投标人须充分了解需养护区块的绿化现状情况，项目移交时以现状情况进行移交。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五</w:t>
      </w:r>
      <w:r>
        <w:rPr>
          <w:rFonts w:cs="宋体"/>
          <w:b/>
          <w:bCs/>
          <w:color w:val="auto"/>
          <w:sz w:val="21"/>
          <w:szCs w:val="21"/>
        </w:rPr>
        <w:t>、养护要求：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1、保持植物生长良好，枝繁叶茂，</w:t>
      </w:r>
      <w:r>
        <w:rPr>
          <w:rFonts w:cs="宋体"/>
          <w:color w:val="auto"/>
          <w:sz w:val="21"/>
          <w:szCs w:val="21"/>
        </w:rPr>
        <w:t>树木成活率98%以上；树木保存率100%</w:t>
      </w:r>
      <w:r>
        <w:rPr>
          <w:rFonts w:hint="eastAsia" w:cs="宋体"/>
          <w:color w:val="auto"/>
          <w:sz w:val="21"/>
          <w:szCs w:val="21"/>
        </w:rPr>
        <w:t>。如有死亡，根据实际情况及时补种，如不及时补种或补种不达标，将按原品种、规格的信息价或市场价的最高价进行赔偿。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2、修剪：灌木修剪根据实际情况修剪，一般每年不少于8次（新枝高度不得高于25cm），其它绿化按实际情况修剪，达到树木造型整齐、美观。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3、病虫害防治：植物生长期间应及时治虫防病，植株无明显病虫害，绿化受病虫害侵蚀面积不大于同一绿化品种总面积的0.5%。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4、垃圾清理：枯树枝、树叶、草沫、杂草做到日产日清；绿地整洁，无砖石瓦块、筐和塑料袋等废弃物，并做到经常保洁。绿地内无垃圾，无明显的人为损坏，无踩踏，无悬挂，无种菜现象。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5、遇到灾害性气候发生，应及时组织人员进行抗旱、浇水、抗台扶树、抗雪保绿，及时完成所有损坏树木的扶植、加固、清枝等工作。</w:t>
      </w:r>
    </w:p>
    <w:p>
      <w:pPr>
        <w:pStyle w:val="6"/>
        <w:spacing w:before="0" w:beforeAutospacing="0" w:after="0" w:afterAutospacing="0" w:line="440" w:lineRule="exact"/>
        <w:ind w:firstLine="412" w:firstLineChars="200"/>
        <w:rPr>
          <w:rFonts w:hint="eastAsia" w:cs="宋体"/>
          <w:color w:val="auto"/>
          <w:spacing w:val="-2"/>
          <w:sz w:val="21"/>
          <w:szCs w:val="21"/>
        </w:rPr>
      </w:pPr>
      <w:r>
        <w:rPr>
          <w:rFonts w:hint="eastAsia" w:cs="宋体"/>
          <w:color w:val="auto"/>
          <w:spacing w:val="-2"/>
          <w:sz w:val="21"/>
          <w:szCs w:val="21"/>
        </w:rPr>
        <w:t>6、无明显的人为损坏，绿地内无堆物堆料、搭棚或侵占等；行道树树干上无钉栓刻画的现象，树下距树干2米范围内无堆物堆料、搭棚设摊、圈栏等影响树木养护管理和生长的现象，2米以内如有，则应有保护措施。施工文明礼貌，如有损绿、毁绿行为及时有效制止，并及时书面上报业主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 xml:space="preserve">7、项目负责人到岗率达80%以上，平常巡查管理由专业技工负责。 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8、绿地需及时除草，杂草率不高于5%，杂草高度不高于10cm。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9、标段内有苗木补种的地块，及时补植同品种、同规格苗木，并确保成活。否则，在养护期满综合验收前从履约保证金中扣除苗木费及补植费用。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1"/>
          <w:szCs w:val="21"/>
        </w:rPr>
        <w:t>、必须做好园林绿化养护台帐。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六</w:t>
      </w:r>
      <w:r>
        <w:rPr>
          <w:rFonts w:cs="宋体"/>
          <w:b/>
          <w:bCs/>
          <w:color w:val="auto"/>
          <w:sz w:val="21"/>
          <w:szCs w:val="21"/>
        </w:rPr>
        <w:t>、</w:t>
      </w:r>
      <w:r>
        <w:rPr>
          <w:rFonts w:hint="eastAsia" w:cs="宋体"/>
          <w:b/>
          <w:bCs/>
          <w:color w:val="auto"/>
          <w:sz w:val="21"/>
          <w:szCs w:val="21"/>
        </w:rPr>
        <w:t>养护质理要求：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cs="宋体"/>
          <w:color w:val="auto"/>
          <w:sz w:val="21"/>
          <w:szCs w:val="21"/>
        </w:rPr>
        <w:t>1、</w:t>
      </w:r>
      <w:r>
        <w:rPr>
          <w:rFonts w:hint="eastAsia" w:cs="宋体"/>
          <w:color w:val="auto"/>
          <w:sz w:val="21"/>
          <w:szCs w:val="21"/>
        </w:rPr>
        <w:t>要求养护质量达到</w:t>
      </w:r>
      <w:r>
        <w:rPr>
          <w:rFonts w:cs="宋体"/>
          <w:color w:val="auto"/>
          <w:sz w:val="21"/>
          <w:szCs w:val="21"/>
        </w:rPr>
        <w:t>兰溪</w:t>
      </w:r>
      <w:r>
        <w:rPr>
          <w:rFonts w:hint="eastAsia" w:cs="宋体"/>
          <w:color w:val="auto"/>
          <w:sz w:val="21"/>
          <w:szCs w:val="21"/>
        </w:rPr>
        <w:t>市城</w:t>
      </w:r>
      <w:r>
        <w:rPr>
          <w:rFonts w:cs="宋体"/>
          <w:color w:val="auto"/>
          <w:sz w:val="21"/>
          <w:szCs w:val="21"/>
        </w:rPr>
        <w:t>区绿地养护质量标准</w:t>
      </w:r>
      <w:r>
        <w:rPr>
          <w:rFonts w:hint="eastAsia" w:cs="宋体"/>
          <w:color w:val="auto"/>
          <w:sz w:val="21"/>
          <w:szCs w:val="21"/>
        </w:rPr>
        <w:t>（详见附件）。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2、承包人必须严格按合同条款、绿地养护标准，精心组织养护，确保养护质量。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3</w:t>
      </w:r>
      <w:r>
        <w:rPr>
          <w:rFonts w:cs="宋体"/>
          <w:color w:val="auto"/>
          <w:sz w:val="21"/>
          <w:szCs w:val="21"/>
        </w:rPr>
        <w:t>、承包人应定期向采购人汇报养护管理计划及有关措施，每月提供施工日记。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4</w:t>
      </w:r>
      <w:r>
        <w:rPr>
          <w:rFonts w:cs="宋体"/>
          <w:color w:val="auto"/>
          <w:sz w:val="21"/>
          <w:szCs w:val="21"/>
        </w:rPr>
        <w:t>、采购人采用每月定期检查与随机抽查相结合的考核办法（</w:t>
      </w:r>
      <w:r>
        <w:rPr>
          <w:rFonts w:hint="eastAsia" w:cs="宋体"/>
          <w:color w:val="auto"/>
          <w:sz w:val="21"/>
          <w:szCs w:val="21"/>
        </w:rPr>
        <w:t>详见附件</w:t>
      </w:r>
      <w:r>
        <w:rPr>
          <w:rFonts w:cs="宋体"/>
          <w:color w:val="auto"/>
          <w:sz w:val="21"/>
          <w:szCs w:val="21"/>
        </w:rPr>
        <w:t>），对承包人的养护质量进行考核评定。如采购人发现承包人的未保质保量完成养护任务的，采购人有权对承包人采取处罚措施，情况严重的采购人有权中止合同。</w:t>
      </w:r>
    </w:p>
    <w:p>
      <w:pPr>
        <w:spacing w:line="500" w:lineRule="exact"/>
        <w:rPr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七、</w:t>
      </w:r>
      <w:r>
        <w:rPr>
          <w:rFonts w:hint="eastAsia"/>
          <w:b/>
          <w:color w:val="auto"/>
          <w:sz w:val="21"/>
          <w:szCs w:val="21"/>
        </w:rPr>
        <w:t>养护</w:t>
      </w:r>
      <w:r>
        <w:rPr>
          <w:b/>
          <w:color w:val="auto"/>
          <w:sz w:val="21"/>
          <w:szCs w:val="21"/>
        </w:rPr>
        <w:t>安全</w:t>
      </w:r>
      <w:r>
        <w:rPr>
          <w:rFonts w:hint="eastAsia"/>
          <w:b/>
          <w:color w:val="auto"/>
          <w:sz w:val="21"/>
          <w:szCs w:val="21"/>
        </w:rPr>
        <w:t>要求：</w:t>
      </w:r>
    </w:p>
    <w:p>
      <w:pPr>
        <w:snapToGrid w:val="0"/>
        <w:spacing w:line="500" w:lineRule="exact"/>
        <w:rPr>
          <w:rFonts w:cs="宋体"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 xml:space="preserve">   </w:t>
      </w:r>
      <w:r>
        <w:rPr>
          <w:rFonts w:hint="eastAsia"/>
          <w:b/>
          <w:color w:val="auto"/>
          <w:sz w:val="21"/>
          <w:szCs w:val="21"/>
        </w:rPr>
        <w:t>承包人</w:t>
      </w:r>
      <w:r>
        <w:rPr>
          <w:b/>
          <w:color w:val="auto"/>
          <w:sz w:val="21"/>
          <w:szCs w:val="21"/>
        </w:rPr>
        <w:t>必须高度重视安全生产。</w:t>
      </w:r>
      <w:r>
        <w:rPr>
          <w:rFonts w:hint="eastAsia"/>
          <w:b/>
          <w:color w:val="auto"/>
          <w:sz w:val="21"/>
          <w:szCs w:val="21"/>
        </w:rPr>
        <w:t>养护</w:t>
      </w:r>
      <w:r>
        <w:rPr>
          <w:b/>
          <w:color w:val="auto"/>
          <w:sz w:val="21"/>
          <w:szCs w:val="21"/>
        </w:rPr>
        <w:t>期</w:t>
      </w:r>
      <w:r>
        <w:rPr>
          <w:rFonts w:hint="eastAsia" w:hAnsi="宋体" w:cs="Arial"/>
          <w:b/>
          <w:color w:val="auto"/>
          <w:sz w:val="21"/>
          <w:szCs w:val="21"/>
        </w:rPr>
        <w:t>间，必须确保工作人员安全，并办理意外保险，如发生一切安全事故，采购人一概不负责，均由承包人承担一切责任和损失。投标人在投标文件中必须予以明确</w:t>
      </w:r>
      <w:r>
        <w:rPr>
          <w:rFonts w:hint="eastAsia" w:hAnsi="宋体" w:cs="Arial"/>
          <w:color w:val="auto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八</w:t>
      </w:r>
      <w:r>
        <w:rPr>
          <w:rFonts w:cs="宋体"/>
          <w:b/>
          <w:bCs/>
          <w:color w:val="auto"/>
          <w:sz w:val="21"/>
          <w:szCs w:val="21"/>
        </w:rPr>
        <w:t>、分项单价最高限价</w:t>
      </w:r>
    </w:p>
    <w:tbl>
      <w:tblPr>
        <w:tblStyle w:val="8"/>
        <w:tblW w:w="903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811"/>
        <w:gridCol w:w="2583"/>
        <w:gridCol w:w="1197"/>
        <w:gridCol w:w="2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工作量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养护期</w:t>
            </w:r>
          </w:p>
        </w:tc>
        <w:tc>
          <w:tcPr>
            <w:tcW w:w="2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年养护费</w:t>
            </w: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综合单价最高限价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绿地养护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93335</w:t>
            </w:r>
            <w:r>
              <w:rPr>
                <w:rFonts w:cs="宋体"/>
                <w:color w:val="auto"/>
                <w:sz w:val="21"/>
                <w:szCs w:val="21"/>
              </w:rPr>
              <w:t>平方米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cs="宋体"/>
                <w:color w:val="auto"/>
                <w:sz w:val="21"/>
                <w:szCs w:val="21"/>
              </w:rPr>
              <w:t>1年</w:t>
            </w:r>
          </w:p>
        </w:tc>
        <w:tc>
          <w:tcPr>
            <w:tcW w:w="2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 xml:space="preserve">   7</w:t>
            </w:r>
            <w:r>
              <w:rPr>
                <w:rFonts w:cs="宋体"/>
                <w:color w:val="auto"/>
                <w:sz w:val="21"/>
                <w:szCs w:val="21"/>
              </w:rPr>
              <w:t>元/平方米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行道树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株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1年</w:t>
            </w:r>
          </w:p>
        </w:tc>
        <w:tc>
          <w:tcPr>
            <w:tcW w:w="2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420" w:firstLineChars="200"/>
              <w:rPr>
                <w:rFonts w:hint="eastAsia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10元/株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[★]九、商务要求：</w:t>
      </w:r>
    </w:p>
    <w:p>
      <w:pPr>
        <w:pStyle w:val="6"/>
        <w:spacing w:before="0" w:beforeAutospacing="0" w:after="0" w:afterAutospacing="0" w:line="360" w:lineRule="auto"/>
        <w:ind w:firstLine="422" w:firstLineChars="200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1、</w:t>
      </w:r>
      <w:r>
        <w:rPr>
          <w:rFonts w:cs="宋体"/>
          <w:b/>
          <w:bCs/>
          <w:color w:val="auto"/>
          <w:sz w:val="21"/>
          <w:szCs w:val="21"/>
        </w:rPr>
        <w:t>养护期限：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cs="宋体"/>
          <w:b/>
          <w:bCs/>
          <w:color w:val="auto"/>
          <w:sz w:val="21"/>
          <w:szCs w:val="21"/>
        </w:rPr>
      </w:pPr>
      <w:r>
        <w:rPr>
          <w:rFonts w:hint="eastAsia" w:cs="宋体"/>
          <w:bCs/>
          <w:color w:val="auto"/>
          <w:sz w:val="21"/>
          <w:szCs w:val="21"/>
        </w:rPr>
        <w:t>养护期限为1年</w:t>
      </w:r>
      <w:r>
        <w:rPr>
          <w:rFonts w:cs="宋体"/>
          <w:bCs/>
          <w:color w:val="auto"/>
          <w:sz w:val="21"/>
          <w:szCs w:val="21"/>
        </w:rPr>
        <w:t>，当年考核合格，可续签下一年度绿化养护</w:t>
      </w:r>
      <w:r>
        <w:rPr>
          <w:rFonts w:hint="eastAsia" w:cs="宋体"/>
          <w:bCs/>
          <w:color w:val="auto"/>
          <w:sz w:val="21"/>
          <w:szCs w:val="21"/>
        </w:rPr>
        <w:t>服务合同</w:t>
      </w:r>
      <w:r>
        <w:rPr>
          <w:rFonts w:cs="宋体"/>
          <w:bCs/>
          <w:color w:val="auto"/>
          <w:sz w:val="21"/>
          <w:szCs w:val="21"/>
        </w:rPr>
        <w:t>，续签不超过2次。</w:t>
      </w:r>
    </w:p>
    <w:p>
      <w:pPr>
        <w:pStyle w:val="6"/>
        <w:spacing w:before="0" w:beforeAutospacing="0" w:after="0" w:afterAutospacing="0" w:line="360" w:lineRule="auto"/>
        <w:ind w:firstLine="422" w:firstLineChars="200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2、</w:t>
      </w:r>
      <w:r>
        <w:rPr>
          <w:rFonts w:cs="宋体"/>
          <w:b/>
          <w:bCs/>
          <w:color w:val="auto"/>
          <w:sz w:val="21"/>
          <w:szCs w:val="21"/>
        </w:rPr>
        <w:t>投标报价要求：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（1）</w:t>
      </w:r>
      <w:r>
        <w:rPr>
          <w:rFonts w:cs="宋体"/>
          <w:color w:val="auto"/>
          <w:sz w:val="21"/>
          <w:szCs w:val="21"/>
        </w:rPr>
        <w:t>本次投标人只需报一年的价格；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kern w:val="2"/>
          <w:sz w:val="21"/>
          <w:szCs w:val="21"/>
        </w:rPr>
        <w:t>（2）</w:t>
      </w:r>
      <w:r>
        <w:rPr>
          <w:rFonts w:cs="宋体"/>
          <w:color w:val="auto"/>
          <w:kern w:val="2"/>
          <w:sz w:val="21"/>
          <w:szCs w:val="21"/>
        </w:rPr>
        <w:t>本项目代理服务费</w:t>
      </w:r>
      <w:r>
        <w:rPr>
          <w:rFonts w:cs="宋体"/>
          <w:b/>
          <w:color w:val="auto"/>
          <w:kern w:val="2"/>
          <w:sz w:val="21"/>
          <w:szCs w:val="21"/>
        </w:rPr>
        <w:t>按国家计委计价格[2002]1980号</w:t>
      </w:r>
      <w:r>
        <w:rPr>
          <w:rFonts w:hint="eastAsia"/>
          <w:b/>
          <w:bCs/>
          <w:color w:val="auto"/>
          <w:sz w:val="21"/>
          <w:szCs w:val="21"/>
        </w:rPr>
        <w:t>及《发改办价格［2003］857号》</w:t>
      </w:r>
      <w:r>
        <w:rPr>
          <w:rFonts w:cs="宋体"/>
          <w:b/>
          <w:color w:val="auto"/>
          <w:kern w:val="2"/>
          <w:sz w:val="21"/>
          <w:szCs w:val="21"/>
        </w:rPr>
        <w:t>文件规定的计算标准计取，以中标价为取费基数，由</w:t>
      </w:r>
      <w:r>
        <w:rPr>
          <w:rFonts w:hint="eastAsia" w:cs="宋体"/>
          <w:b/>
          <w:color w:val="auto"/>
          <w:kern w:val="2"/>
          <w:sz w:val="21"/>
          <w:szCs w:val="21"/>
        </w:rPr>
        <w:t>中标人</w:t>
      </w:r>
      <w:r>
        <w:rPr>
          <w:rFonts w:cs="宋体"/>
          <w:b/>
          <w:color w:val="auto"/>
          <w:kern w:val="2"/>
          <w:sz w:val="21"/>
          <w:szCs w:val="21"/>
        </w:rPr>
        <w:t>支付。</w:t>
      </w:r>
    </w:p>
    <w:p>
      <w:pPr>
        <w:pStyle w:val="6"/>
        <w:spacing w:before="0" w:beforeAutospacing="0" w:after="0" w:afterAutospacing="0" w:line="440" w:lineRule="exact"/>
        <w:ind w:firstLine="422" w:firstLineChars="200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3、</w:t>
      </w:r>
      <w:r>
        <w:rPr>
          <w:rFonts w:cs="宋体"/>
          <w:b/>
          <w:bCs/>
          <w:color w:val="auto"/>
          <w:sz w:val="21"/>
          <w:szCs w:val="21"/>
        </w:rPr>
        <w:t>结算及付款方式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（1）</w:t>
      </w:r>
      <w:r>
        <w:rPr>
          <w:rFonts w:cs="宋体"/>
          <w:color w:val="auto"/>
          <w:sz w:val="21"/>
          <w:szCs w:val="21"/>
        </w:rPr>
        <w:t>结算方式：根据采购</w:t>
      </w:r>
      <w:r>
        <w:rPr>
          <w:rFonts w:hint="eastAsia" w:cs="宋体"/>
          <w:color w:val="auto"/>
          <w:sz w:val="21"/>
          <w:szCs w:val="21"/>
        </w:rPr>
        <w:t>人</w:t>
      </w:r>
      <w:r>
        <w:rPr>
          <w:rFonts w:cs="宋体"/>
          <w:color w:val="auto"/>
          <w:sz w:val="21"/>
          <w:szCs w:val="21"/>
        </w:rPr>
        <w:t>要求养护的实际绿地数量</w:t>
      </w:r>
      <w:r>
        <w:rPr>
          <w:rFonts w:hint="eastAsia" w:cs="宋体"/>
          <w:color w:val="auto"/>
          <w:sz w:val="21"/>
          <w:szCs w:val="21"/>
        </w:rPr>
        <w:t>和行道树株树</w:t>
      </w:r>
      <w:r>
        <w:rPr>
          <w:rFonts w:cs="宋体"/>
          <w:color w:val="auto"/>
          <w:sz w:val="21"/>
          <w:szCs w:val="21"/>
        </w:rPr>
        <w:t>，结合中标</w:t>
      </w:r>
      <w:r>
        <w:rPr>
          <w:rFonts w:hint="eastAsia" w:cs="宋体"/>
          <w:color w:val="auto"/>
          <w:sz w:val="21"/>
          <w:szCs w:val="21"/>
        </w:rPr>
        <w:t>人</w:t>
      </w:r>
      <w:r>
        <w:rPr>
          <w:rFonts w:cs="宋体"/>
          <w:color w:val="auto"/>
          <w:sz w:val="21"/>
          <w:szCs w:val="21"/>
        </w:rPr>
        <w:t>的中标单价按实结算。</w:t>
      </w:r>
    </w:p>
    <w:p>
      <w:pPr>
        <w:pStyle w:val="6"/>
        <w:spacing w:before="0" w:beforeAutospacing="0" w:after="0" w:afterAutospacing="0" w:line="440" w:lineRule="exact"/>
        <w:ind w:firstLine="420" w:firstLineChars="200"/>
        <w:rPr>
          <w:rFonts w:hint="eastAsia" w:ascii="Times New Roman"/>
          <w:color w:val="auto"/>
          <w:kern w:val="2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（2）</w:t>
      </w:r>
      <w:r>
        <w:rPr>
          <w:rFonts w:cs="宋体"/>
          <w:color w:val="auto"/>
          <w:sz w:val="21"/>
          <w:szCs w:val="21"/>
        </w:rPr>
        <w:t>付款方式：养护费用采用先作业后支付的方式支付，根据月度考核结果，</w:t>
      </w:r>
      <w:r>
        <w:rPr>
          <w:rFonts w:hint="eastAsia" w:ascii="Times New Roman"/>
          <w:color w:val="auto"/>
          <w:kern w:val="2"/>
          <w:sz w:val="21"/>
          <w:szCs w:val="21"/>
        </w:rPr>
        <w:t>由考核验收结果引起的经济扣罚直接在当月核拨的养护经费中扣除。养护经费每三个月支付一次，养护满三个月考核验收后第四个月初支付上三个月验收的养护费，以此类推。</w:t>
      </w:r>
    </w:p>
    <w:p>
      <w:pPr>
        <w:pStyle w:val="6"/>
        <w:spacing w:before="0" w:beforeAutospacing="0" w:after="0" w:afterAutospacing="0" w:line="440" w:lineRule="exact"/>
        <w:ind w:firstLine="422" w:firstLineChars="200"/>
        <w:jc w:val="both"/>
        <w:rPr>
          <w:rFonts w:hint="eastAsia"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</w:rPr>
        <w:t>4、在岗人员要求：</w:t>
      </w:r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10</w:t>
      </w:r>
      <w:r>
        <w:rPr>
          <w:rFonts w:hint="eastAsia" w:cs="宋体"/>
          <w:b/>
          <w:bCs/>
          <w:color w:val="auto"/>
          <w:sz w:val="21"/>
          <w:szCs w:val="21"/>
        </w:rPr>
        <w:t>人以上（要求在岗人员全数到岗）。</w:t>
      </w:r>
    </w:p>
    <w:p>
      <w:pPr>
        <w:pStyle w:val="6"/>
        <w:spacing w:before="0" w:beforeAutospacing="0" w:after="0" w:afterAutospacing="0" w:line="440" w:lineRule="exact"/>
        <w:ind w:firstLine="422" w:firstLineChars="200"/>
        <w:jc w:val="both"/>
        <w:rPr>
          <w:rFonts w:hint="eastAsia" w:cs="宋体"/>
          <w:b/>
          <w:bCs/>
          <w:color w:val="auto"/>
          <w:sz w:val="21"/>
          <w:szCs w:val="21"/>
          <w:lang w:bidi="ar"/>
        </w:rPr>
      </w:pPr>
      <w:r>
        <w:rPr>
          <w:rFonts w:hint="eastAsia" w:cs="宋体"/>
          <w:b/>
          <w:bCs/>
          <w:color w:val="auto"/>
          <w:sz w:val="21"/>
          <w:szCs w:val="21"/>
          <w:lang w:bidi="ar"/>
        </w:rPr>
        <w:t>5、</w:t>
      </w:r>
      <w:r>
        <w:rPr>
          <w:rFonts w:ascii="Times New Roman" w:hAnsi="Times New Roman"/>
          <w:b/>
          <w:bCs/>
          <w:color w:val="auto"/>
          <w:sz w:val="21"/>
          <w:szCs w:val="21"/>
        </w:rPr>
        <w:t>合同期内，用于本项</w:t>
      </w:r>
      <w:r>
        <w:rPr>
          <w:rFonts w:hint="eastAsia" w:cs="宋体"/>
          <w:b/>
          <w:bCs/>
          <w:color w:val="auto"/>
          <w:sz w:val="21"/>
          <w:szCs w:val="21"/>
          <w:lang w:bidi="ar"/>
        </w:rPr>
        <w:t>目实施的自有运输车、洒水车（必须提供登记在投标单位的车辆行驶证，否则设备无效）、管理车、垃圾清运车、修剪车、喷药机、剪草机等大型绿化养护设备齐全、充足，完全满足并优于项目实施要求。投标单位必须有2辆及以上的洒水车。</w:t>
      </w:r>
    </w:p>
    <w:p>
      <w:pPr>
        <w:spacing w:line="440" w:lineRule="exact"/>
        <w:ind w:firstLine="422" w:firstLineChars="200"/>
        <w:rPr>
          <w:rFonts w:cs="宋体"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kern w:val="0"/>
          <w:sz w:val="21"/>
          <w:szCs w:val="21"/>
          <w:lang w:bidi="ar"/>
        </w:rPr>
        <w:t>6、</w:t>
      </w:r>
      <w:r>
        <w:rPr>
          <w:rFonts w:hint="eastAsia" w:ascii="宋体" w:hAnsi="宋体"/>
          <w:b/>
          <w:bCs/>
          <w:color w:val="auto"/>
          <w:sz w:val="21"/>
          <w:szCs w:val="32"/>
        </w:rPr>
        <w:t>注册地不在兰溪市的投标单位，必须在兰溪市设立分公司，</w:t>
      </w:r>
      <w:r>
        <w:rPr>
          <w:rFonts w:hint="eastAsia" w:cs="宋体"/>
          <w:b/>
          <w:bCs/>
          <w:color w:val="auto"/>
          <w:kern w:val="0"/>
          <w:sz w:val="21"/>
          <w:szCs w:val="21"/>
          <w:lang w:bidi="ar"/>
        </w:rPr>
        <w:t>在有灾情、突击任务时，投标人须承诺在30分钟内赶到现场处理问题。投标人在投标文件中必须承诺。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1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FD32"/>
    <w:multiLevelType w:val="singleLevel"/>
    <w:tmpl w:val="5785FD3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AE5249"/>
    <w:multiLevelType w:val="singleLevel"/>
    <w:tmpl w:val="59AE52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39D6"/>
    <w:rsid w:val="1B5339D6"/>
    <w:rsid w:val="365E3988"/>
    <w:rsid w:val="403E254E"/>
    <w:rsid w:val="637B72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3">
    <w:name w:val="Plain Text"/>
    <w:basedOn w:val="1"/>
    <w:qFormat/>
    <w:uiPriority w:val="0"/>
    <w:pPr>
      <w:spacing w:beforeLines="50" w:afterLines="50" w:line="400" w:lineRule="atLeast"/>
    </w:pPr>
    <w:rPr>
      <w:rFonts w:hint="eastAsia" w:ascii="宋体" w:hAnsi="Courier New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Q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2018-03-23T07:09:00Z</dcterms:created>
  <dc:creator>擎洲工程建设代理测试公司</dc:creator>
  <cp:lastModifiedBy>擎洲工程建设代理测试公司</cp:lastModifiedBy>
  <dcterms:modified xsi:type="dcterms:W3CDTF">2018-03-27T02:42:20Z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