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杭州求是招标代理有限公司关于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网络中心表格自助生成系统</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公开招标采购文件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项目编号：QSZB-H-C17123MYZ</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项目名称：网络中心表格自助生成系统</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采购单位：中国美术学院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代理机构：杭州求是招标代理有限公司</w:t>
      </w:r>
    </w:p>
    <w:p>
      <w:pPr>
        <w:spacing w:line="360" w:lineRule="auto"/>
        <w:rPr>
          <w:rFonts w:ascii="楷体" w:hAnsi="楷体" w:eastAsia="楷体"/>
          <w:b/>
          <w:spacing w:val="-6"/>
          <w:sz w:val="30"/>
          <w:szCs w:val="30"/>
        </w:rPr>
      </w:pPr>
      <w:r>
        <w:rPr>
          <w:rFonts w:hint="eastAsia" w:ascii="楷体" w:hAnsi="楷体" w:eastAsia="楷体"/>
          <w:b/>
          <w:spacing w:val="-6"/>
          <w:sz w:val="30"/>
          <w:szCs w:val="30"/>
        </w:rPr>
        <w:t>日    期：</w:t>
      </w:r>
      <w:r>
        <w:rPr>
          <w:rFonts w:hint="eastAsia" w:ascii="楷体" w:hAnsi="楷体" w:eastAsia="楷体"/>
          <w:b/>
          <w:spacing w:val="-6"/>
          <w:sz w:val="30"/>
          <w:szCs w:val="30"/>
          <w:lang w:eastAsia="zh-CN"/>
        </w:rPr>
        <w:t>2017年9月30日</w:t>
      </w:r>
    </w:p>
    <w:p>
      <w:pPr>
        <w:pStyle w:val="13"/>
        <w:spacing w:beforeLines="0" w:afterLines="0" w:line="288" w:lineRule="auto"/>
        <w:rPr>
          <w:rFonts w:ascii="楷体" w:hAnsi="楷体" w:eastAsia="楷体"/>
          <w:sz w:val="28"/>
          <w:szCs w:val="28"/>
        </w:rPr>
        <w:sectPr>
          <w:footerReference r:id="rId6" w:type="first"/>
          <w:headerReference r:id="rId3" w:type="default"/>
          <w:footerReference r:id="rId4" w:type="default"/>
          <w:footerReference r:id="rId5" w:type="even"/>
          <w:pgSz w:w="11906" w:h="16838"/>
          <w:pgMar w:top="1247" w:right="1247" w:bottom="1247" w:left="1247" w:header="170" w:footer="780" w:gutter="0"/>
          <w:cols w:space="720" w:num="1"/>
          <w:docGrid w:linePitch="381" w:charSpace="0"/>
        </w:sectPr>
      </w:pPr>
    </w:p>
    <w:p>
      <w:pPr>
        <w:pStyle w:val="13"/>
        <w:spacing w:beforeLines="0" w:afterLines="0" w:line="288" w:lineRule="auto"/>
        <w:rPr>
          <w:rFonts w:ascii="楷体" w:hAnsi="楷体" w:eastAsia="楷体"/>
          <w:b/>
          <w:sz w:val="21"/>
          <w:szCs w:val="21"/>
        </w:rPr>
      </w:pPr>
    </w:p>
    <w:p>
      <w:pPr>
        <w:pStyle w:val="13"/>
        <w:spacing w:beforeLines="0" w:afterLines="0" w:line="288" w:lineRule="auto"/>
        <w:jc w:val="center"/>
        <w:rPr>
          <w:rFonts w:ascii="楷体" w:hAnsi="楷体" w:eastAsia="楷体"/>
          <w:b/>
          <w:sz w:val="30"/>
          <w:szCs w:val="30"/>
        </w:rPr>
      </w:pPr>
      <w:r>
        <w:rPr>
          <w:rFonts w:ascii="楷体" w:hAnsi="楷体" w:eastAsia="楷体"/>
          <w:b/>
          <w:sz w:val="30"/>
          <w:szCs w:val="30"/>
        </w:rPr>
        <w:t>目录</w:t>
      </w:r>
    </w:p>
    <w:p>
      <w:pPr>
        <w:pStyle w:val="13"/>
        <w:spacing w:beforeLines="0" w:afterLines="0" w:line="288" w:lineRule="auto"/>
        <w:jc w:val="center"/>
        <w:rPr>
          <w:rFonts w:ascii="楷体" w:hAnsi="楷体" w:eastAsia="楷体"/>
          <w:b/>
          <w:sz w:val="30"/>
          <w:szCs w:val="30"/>
        </w:rPr>
      </w:pPr>
    </w:p>
    <w:p>
      <w:pPr>
        <w:numPr>
          <w:ilvl w:val="0"/>
          <w:numId w:val="2"/>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公开招标采购公告</w:t>
      </w:r>
    </w:p>
    <w:p>
      <w:pPr>
        <w:numPr>
          <w:ilvl w:val="0"/>
          <w:numId w:val="2"/>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招标需求</w:t>
      </w:r>
    </w:p>
    <w:p>
      <w:pPr>
        <w:numPr>
          <w:ilvl w:val="0"/>
          <w:numId w:val="2"/>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投标文件格式</w:t>
      </w:r>
    </w:p>
    <w:p>
      <w:pPr>
        <w:pStyle w:val="13"/>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公开招标采购公告</w:t>
      </w:r>
    </w:p>
    <w:p>
      <w:pPr>
        <w:pStyle w:val="30"/>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中华人民共和国政府采购法实施条例》、《政府采购货物和服务招标投标管理办法》等法律法规规定，经浙江省财政厅[2017]44211号确认书批准，现就中国美术学院网络中心表格自助生成系统进行公开招标采购，欢迎国内合格的供应商前来投标。</w:t>
      </w:r>
    </w:p>
    <w:p>
      <w:pPr>
        <w:spacing w:line="288" w:lineRule="auto"/>
        <w:rPr>
          <w:rFonts w:ascii="宋体" w:hAnsi="宋体"/>
          <w:spacing w:val="-6"/>
          <w:kern w:val="0"/>
          <w:sz w:val="24"/>
        </w:rPr>
      </w:pPr>
      <w:r>
        <w:rPr>
          <w:rFonts w:hint="eastAsia" w:ascii="宋体" w:hAnsi="宋体" w:cs="Arial"/>
          <w:spacing w:val="-6"/>
          <w:sz w:val="24"/>
        </w:rPr>
        <w:t>一、</w:t>
      </w:r>
      <w:r>
        <w:rPr>
          <w:rFonts w:hint="eastAsia" w:ascii="宋体" w:hAnsi="宋体" w:cs="Arial"/>
          <w:b/>
          <w:bCs/>
          <w:spacing w:val="-6"/>
          <w:sz w:val="24"/>
        </w:rPr>
        <w:t>项目编号:</w:t>
      </w:r>
      <w:r>
        <w:rPr>
          <w:rFonts w:hint="eastAsia" w:ascii="宋体" w:hAnsi="宋体"/>
          <w:spacing w:val="-6"/>
          <w:kern w:val="0"/>
          <w:sz w:val="21"/>
          <w:szCs w:val="21"/>
        </w:rPr>
        <w:t>QSZB-H-C17123MYZ</w:t>
      </w:r>
    </w:p>
    <w:p>
      <w:pPr>
        <w:spacing w:line="288" w:lineRule="auto"/>
        <w:rPr>
          <w:rFonts w:ascii="宋体" w:hAnsi="宋体"/>
          <w:spacing w:val="-6"/>
          <w:kern w:val="0"/>
          <w:sz w:val="24"/>
        </w:rPr>
      </w:pPr>
      <w:r>
        <w:rPr>
          <w:rFonts w:hint="eastAsia" w:ascii="宋体" w:hAnsi="宋体" w:cs="Arial"/>
          <w:spacing w:val="-6"/>
          <w:sz w:val="24"/>
        </w:rPr>
        <w:t>二、</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4"/>
        </w:rPr>
      </w:pPr>
      <w:r>
        <w:rPr>
          <w:rFonts w:hint="eastAsia" w:ascii="宋体" w:hAnsi="宋体" w:cs="Arial"/>
          <w:b/>
          <w:spacing w:val="-6"/>
          <w:sz w:val="24"/>
        </w:rPr>
        <w:t>三、采购方式:</w:t>
      </w:r>
      <w:r>
        <w:rPr>
          <w:rFonts w:hint="eastAsia" w:ascii="宋体" w:hAnsi="宋体" w:cs="Arial"/>
          <w:spacing w:val="-6"/>
          <w:sz w:val="21"/>
          <w:szCs w:val="21"/>
        </w:rPr>
        <w:t>公开招标</w:t>
      </w:r>
    </w:p>
    <w:p>
      <w:pPr>
        <w:spacing w:line="288" w:lineRule="auto"/>
        <w:rPr>
          <w:rFonts w:ascii="宋体" w:hAnsi="宋体" w:cs="Arial"/>
          <w:b/>
          <w:bCs/>
          <w:spacing w:val="-6"/>
          <w:sz w:val="24"/>
        </w:rPr>
      </w:pPr>
      <w:r>
        <w:rPr>
          <w:rFonts w:hint="eastAsia" w:ascii="宋体" w:hAnsi="宋体" w:cs="Arial"/>
          <w:b/>
          <w:spacing w:val="-6"/>
          <w:sz w:val="24"/>
        </w:rPr>
        <w:t>四、</w:t>
      </w:r>
      <w:r>
        <w:rPr>
          <w:rFonts w:hint="eastAsia" w:ascii="宋体" w:hAnsi="宋体" w:cs="Arial"/>
          <w:b/>
          <w:bCs/>
          <w:spacing w:val="-6"/>
          <w:sz w:val="24"/>
        </w:rPr>
        <w:t>招标项目概况（内容、用途、数量、简要技术要求等）：</w:t>
      </w:r>
    </w:p>
    <w:tbl>
      <w:tblPr>
        <w:tblStyle w:val="28"/>
        <w:tblW w:w="94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75"/>
        <w:gridCol w:w="1225"/>
        <w:gridCol w:w="613"/>
        <w:gridCol w:w="433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9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序号</w:t>
            </w:r>
          </w:p>
        </w:tc>
        <w:tc>
          <w:tcPr>
            <w:tcW w:w="147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项目内容</w:t>
            </w:r>
          </w:p>
        </w:tc>
        <w:tc>
          <w:tcPr>
            <w:tcW w:w="122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是否</w:t>
            </w:r>
            <w:r>
              <w:rPr>
                <w:rFonts w:ascii="宋体" w:hAnsi="宋体"/>
                <w:spacing w:val="-6"/>
                <w:sz w:val="21"/>
                <w:szCs w:val="21"/>
              </w:rPr>
              <w:t>允许</w:t>
            </w:r>
            <w:r>
              <w:rPr>
                <w:rFonts w:hint="eastAsia" w:ascii="宋体" w:hAnsi="宋体"/>
                <w:spacing w:val="-6"/>
                <w:sz w:val="21"/>
                <w:szCs w:val="21"/>
              </w:rPr>
              <w:t>采购</w:t>
            </w:r>
            <w:r>
              <w:rPr>
                <w:rFonts w:ascii="宋体" w:hAnsi="宋体"/>
                <w:spacing w:val="-6"/>
                <w:sz w:val="21"/>
                <w:szCs w:val="21"/>
              </w:rPr>
              <w:t>进口</w:t>
            </w:r>
            <w:r>
              <w:rPr>
                <w:rFonts w:hint="eastAsia" w:ascii="宋体" w:hAnsi="宋体"/>
                <w:spacing w:val="-6"/>
                <w:sz w:val="21"/>
                <w:szCs w:val="21"/>
              </w:rPr>
              <w:t>产品</w:t>
            </w:r>
          </w:p>
        </w:tc>
        <w:tc>
          <w:tcPr>
            <w:tcW w:w="61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数量</w:t>
            </w:r>
          </w:p>
        </w:tc>
        <w:tc>
          <w:tcPr>
            <w:tcW w:w="4338"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简要技术要求、用途</w:t>
            </w:r>
          </w:p>
        </w:tc>
        <w:tc>
          <w:tcPr>
            <w:tcW w:w="1138"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采购预算</w:t>
            </w:r>
          </w:p>
          <w:p>
            <w:pPr>
              <w:spacing w:line="288" w:lineRule="auto"/>
              <w:jc w:val="center"/>
              <w:rPr>
                <w:rFonts w:ascii="宋体" w:hAnsi="宋体"/>
                <w:spacing w:val="-6"/>
                <w:sz w:val="21"/>
                <w:szCs w:val="21"/>
              </w:rPr>
            </w:pPr>
            <w:r>
              <w:rPr>
                <w:rFonts w:hint="eastAsia" w:ascii="宋体" w:hAnsi="宋体"/>
                <w:spacing w:val="-6"/>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9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w:t>
            </w:r>
          </w:p>
        </w:tc>
        <w:tc>
          <w:tcPr>
            <w:tcW w:w="147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报表软件平台</w:t>
            </w:r>
          </w:p>
        </w:tc>
        <w:tc>
          <w:tcPr>
            <w:tcW w:w="122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否</w:t>
            </w:r>
          </w:p>
        </w:tc>
        <w:tc>
          <w:tcPr>
            <w:tcW w:w="61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1套</w:t>
            </w:r>
          </w:p>
        </w:tc>
        <w:tc>
          <w:tcPr>
            <w:tcW w:w="4338" w:type="dxa"/>
            <w:vAlign w:val="center"/>
          </w:tcPr>
          <w:p>
            <w:pPr>
              <w:spacing w:line="288" w:lineRule="auto"/>
              <w:rPr>
                <w:rFonts w:ascii="宋体" w:hAnsi="宋体"/>
                <w:spacing w:val="-6"/>
                <w:sz w:val="21"/>
                <w:szCs w:val="21"/>
              </w:rPr>
            </w:pPr>
            <w:r>
              <w:rPr>
                <w:rFonts w:hint="eastAsia" w:ascii="宋体" w:hAnsi="宋体"/>
                <w:spacing w:val="-6"/>
                <w:sz w:val="21"/>
                <w:szCs w:val="21"/>
              </w:rPr>
              <w:t>报表软件平台采用成熟报表软件平台包括报表设计模块、报表展现模块、报表的输出和打印模块、图表模块、数据统计分析模块、数据填报模块、报表管理平台、权限控制模块等。</w:t>
            </w:r>
          </w:p>
          <w:p>
            <w:pPr>
              <w:spacing w:line="288" w:lineRule="auto"/>
              <w:rPr>
                <w:rFonts w:ascii="宋体" w:hAnsi="宋体"/>
                <w:spacing w:val="-6"/>
                <w:sz w:val="21"/>
                <w:szCs w:val="21"/>
              </w:rPr>
            </w:pPr>
            <w:r>
              <w:rPr>
                <w:rFonts w:ascii="宋体" w:hAnsi="宋体"/>
                <w:spacing w:val="-6"/>
                <w:sz w:val="21"/>
                <w:szCs w:val="21"/>
              </w:rPr>
              <w:t>具体详见</w:t>
            </w:r>
            <w:r>
              <w:rPr>
                <w:rFonts w:hint="eastAsia" w:ascii="宋体" w:hAnsi="宋体"/>
                <w:spacing w:val="-6"/>
                <w:sz w:val="21"/>
                <w:szCs w:val="21"/>
              </w:rPr>
              <w:t>第二章 招标</w:t>
            </w:r>
            <w:r>
              <w:rPr>
                <w:rFonts w:ascii="宋体" w:hAnsi="宋体"/>
                <w:spacing w:val="-6"/>
                <w:sz w:val="21"/>
                <w:szCs w:val="21"/>
              </w:rPr>
              <w:t>需求</w:t>
            </w:r>
          </w:p>
        </w:tc>
        <w:tc>
          <w:tcPr>
            <w:tcW w:w="1138" w:type="dxa"/>
            <w:vMerge w:val="restart"/>
            <w:vAlign w:val="center"/>
          </w:tcPr>
          <w:p>
            <w:pPr>
              <w:spacing w:line="288" w:lineRule="auto"/>
              <w:jc w:val="center"/>
              <w:rPr>
                <w:rFonts w:ascii="宋体" w:hAnsi="宋体"/>
                <w:spacing w:val="-6"/>
                <w:sz w:val="21"/>
                <w:szCs w:val="21"/>
              </w:rPr>
            </w:pPr>
            <w:r>
              <w:rPr>
                <w:rFonts w:hint="eastAsia" w:ascii="宋体" w:hAnsi="宋体"/>
                <w:spacing w:val="-6"/>
                <w:sz w:val="21"/>
                <w:szCs w:val="21"/>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9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2</w:t>
            </w:r>
          </w:p>
        </w:tc>
        <w:tc>
          <w:tcPr>
            <w:tcW w:w="147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综合数据应用平台</w:t>
            </w:r>
          </w:p>
        </w:tc>
        <w:tc>
          <w:tcPr>
            <w:tcW w:w="122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否</w:t>
            </w:r>
          </w:p>
        </w:tc>
        <w:tc>
          <w:tcPr>
            <w:tcW w:w="61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1套</w:t>
            </w:r>
          </w:p>
        </w:tc>
        <w:tc>
          <w:tcPr>
            <w:tcW w:w="4338" w:type="dxa"/>
            <w:vAlign w:val="center"/>
          </w:tcPr>
          <w:p>
            <w:pPr>
              <w:spacing w:line="288" w:lineRule="auto"/>
              <w:rPr>
                <w:rFonts w:ascii="宋体" w:hAnsi="宋体"/>
                <w:spacing w:val="-6"/>
                <w:sz w:val="21"/>
                <w:szCs w:val="21"/>
              </w:rPr>
            </w:pPr>
            <w:r>
              <w:rPr>
                <w:rFonts w:hint="eastAsia" w:ascii="宋体" w:hAnsi="宋体"/>
                <w:spacing w:val="-6"/>
                <w:sz w:val="21"/>
                <w:szCs w:val="21"/>
              </w:rPr>
              <w:t>综合数据应用平台基于报表软件平台进行二次开发，包含教师发展档案、学生成长档案、综合数据分析，数据质量监测、师生数据填报服务、高基报表、高等教育质量监测数据采集等功能。</w:t>
            </w:r>
          </w:p>
          <w:p>
            <w:pPr>
              <w:spacing w:line="288" w:lineRule="auto"/>
              <w:rPr>
                <w:rFonts w:ascii="宋体" w:hAnsi="宋体"/>
                <w:spacing w:val="-6"/>
                <w:sz w:val="21"/>
                <w:szCs w:val="21"/>
              </w:rPr>
            </w:pPr>
            <w:r>
              <w:rPr>
                <w:rFonts w:ascii="宋体" w:hAnsi="宋体"/>
                <w:spacing w:val="-6"/>
                <w:sz w:val="21"/>
                <w:szCs w:val="21"/>
              </w:rPr>
              <w:t>具体详见</w:t>
            </w:r>
            <w:r>
              <w:rPr>
                <w:rFonts w:hint="eastAsia" w:ascii="宋体" w:hAnsi="宋体"/>
                <w:spacing w:val="-6"/>
                <w:sz w:val="21"/>
                <w:szCs w:val="21"/>
              </w:rPr>
              <w:t>第二章 招标</w:t>
            </w:r>
            <w:r>
              <w:rPr>
                <w:rFonts w:ascii="宋体" w:hAnsi="宋体"/>
                <w:spacing w:val="-6"/>
                <w:sz w:val="21"/>
                <w:szCs w:val="21"/>
              </w:rPr>
              <w:t>需求</w:t>
            </w:r>
          </w:p>
        </w:tc>
        <w:tc>
          <w:tcPr>
            <w:tcW w:w="1138" w:type="dxa"/>
            <w:vMerge w:val="continue"/>
            <w:vAlign w:val="center"/>
          </w:tcPr>
          <w:p>
            <w:pPr>
              <w:spacing w:line="288" w:lineRule="auto"/>
              <w:jc w:val="center"/>
              <w:rPr>
                <w:rFonts w:ascii="宋体" w:hAnsi="宋体"/>
                <w:spacing w:val="-6"/>
                <w:sz w:val="21"/>
                <w:szCs w:val="21"/>
              </w:rPr>
            </w:pPr>
          </w:p>
        </w:tc>
      </w:tr>
    </w:tbl>
    <w:p>
      <w:pPr>
        <w:spacing w:line="288" w:lineRule="auto"/>
        <w:rPr>
          <w:rFonts w:ascii="宋体" w:hAnsi="宋体" w:cs="Arial"/>
          <w:b/>
          <w:bCs/>
          <w:spacing w:val="-6"/>
          <w:sz w:val="24"/>
        </w:rPr>
      </w:pPr>
      <w:r>
        <w:rPr>
          <w:rFonts w:hint="eastAsia" w:ascii="宋体" w:hAnsi="宋体" w:cs="Arial"/>
          <w:b/>
          <w:spacing w:val="-6"/>
          <w:sz w:val="24"/>
        </w:rPr>
        <w:t>五</w:t>
      </w:r>
      <w:r>
        <w:rPr>
          <w:rFonts w:hint="eastAsia" w:ascii="宋体" w:hAnsi="宋体" w:cs="Arial"/>
          <w:spacing w:val="-6"/>
          <w:sz w:val="24"/>
        </w:rPr>
        <w:t>、</w:t>
      </w:r>
      <w:r>
        <w:rPr>
          <w:rFonts w:hint="eastAsia" w:ascii="宋体" w:hAnsi="宋体" w:cs="Arial"/>
          <w:b/>
          <w:bCs/>
          <w:spacing w:val="-6"/>
          <w:sz w:val="24"/>
        </w:rPr>
        <w:t>合格投标人的资格要求：</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符合《中华人民共和国政府采购法》第二十二条规定的投标人资格条件：</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（一）具有独立承担民事责任的能力；</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（二）具有良好的商业信誉和健全的财务会计制度；</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（三）具有履行合同所必需的设备和专业技术能力；</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（四）有依法缴纳税收和社会保障资金的良好记录；</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（五）参加政府采购活动前三年内，在经营活动中没有重大违法记录；</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（六）法律、行政法规规定的其他条件。</w:t>
      </w:r>
    </w:p>
    <w:p>
      <w:pPr>
        <w:spacing w:line="288" w:lineRule="auto"/>
        <w:ind w:firstLine="398" w:firstLineChars="200"/>
        <w:rPr>
          <w:rFonts w:ascii="宋体" w:hAnsi="宋体" w:cs="Arial"/>
          <w:b/>
          <w:bCs/>
          <w:spacing w:val="-6"/>
          <w:sz w:val="21"/>
          <w:szCs w:val="21"/>
        </w:rPr>
      </w:pPr>
      <w:r>
        <w:rPr>
          <w:rFonts w:hint="eastAsia" w:ascii="宋体" w:hAnsi="宋体" w:cs="Arial"/>
          <w:b/>
          <w:bCs/>
          <w:spacing w:val="-6"/>
          <w:sz w:val="21"/>
          <w:szCs w:val="21"/>
        </w:rPr>
        <w:t>投标人特定条件：</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本项目不接受联合体投标。</w:t>
      </w:r>
    </w:p>
    <w:p>
      <w:pPr>
        <w:spacing w:line="288" w:lineRule="auto"/>
        <w:rPr>
          <w:rFonts w:ascii="宋体" w:hAnsi="宋体" w:cs="Arial"/>
          <w:b/>
          <w:bCs/>
          <w:spacing w:val="-6"/>
          <w:sz w:val="24"/>
        </w:rPr>
      </w:pPr>
      <w:r>
        <w:rPr>
          <w:rFonts w:hint="eastAsia" w:ascii="宋体" w:hAnsi="宋体" w:cs="Arial"/>
          <w:b/>
          <w:bCs/>
          <w:spacing w:val="-6"/>
          <w:sz w:val="24"/>
        </w:rPr>
        <w:t>六、获取</w:t>
      </w:r>
      <w:r>
        <w:rPr>
          <w:rFonts w:ascii="宋体" w:hAnsi="宋体" w:cs="Arial"/>
          <w:b/>
          <w:bCs/>
          <w:spacing w:val="-6"/>
          <w:sz w:val="24"/>
        </w:rPr>
        <w:t>招标文件的时间、地点、方式及</w:t>
      </w:r>
      <w:r>
        <w:rPr>
          <w:rFonts w:hint="eastAsia" w:ascii="宋体" w:hAnsi="宋体" w:cs="Arial"/>
          <w:b/>
          <w:bCs/>
          <w:spacing w:val="-6"/>
          <w:sz w:val="24"/>
        </w:rPr>
        <w:t>招标</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2017年9月30日</w:t>
      </w:r>
      <w:r>
        <w:rPr>
          <w:rFonts w:hint="eastAsia" w:ascii="宋体" w:hAnsi="宋体"/>
          <w:spacing w:val="-6"/>
          <w:sz w:val="21"/>
          <w:szCs w:val="21"/>
        </w:rPr>
        <w:t>至</w:t>
      </w:r>
      <w:r>
        <w:rPr>
          <w:rFonts w:hint="eastAsia" w:ascii="宋体" w:hAnsi="宋体"/>
          <w:spacing w:val="-6"/>
          <w:sz w:val="21"/>
          <w:szCs w:val="21"/>
          <w:lang w:eastAsia="zh-CN"/>
        </w:rPr>
        <w:t>2017年10月24日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2.地点：杭州求是招标代理有限公司（杭州市西湖区玉古路173号中田大厦16楼</w:t>
      </w:r>
      <w:r>
        <w:rPr>
          <w:rFonts w:ascii="宋体" w:hAnsi="宋体"/>
          <w:spacing w:val="-6"/>
          <w:sz w:val="21"/>
          <w:szCs w:val="21"/>
        </w:rPr>
        <w:t>H</w:t>
      </w:r>
      <w:r>
        <w:rPr>
          <w:rFonts w:hint="eastAsia" w:ascii="宋体" w:hAnsi="宋体"/>
          <w:spacing w:val="-6"/>
          <w:sz w:val="21"/>
          <w:szCs w:val="21"/>
        </w:rPr>
        <w:t>室）。</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方式</w:t>
      </w:r>
      <w:r>
        <w:rPr>
          <w:rFonts w:ascii="宋体" w:hAnsi="宋体"/>
          <w:spacing w:val="-6"/>
          <w:sz w:val="21"/>
          <w:szCs w:val="21"/>
        </w:rPr>
        <w:t>：现场</w:t>
      </w:r>
      <w:r>
        <w:rPr>
          <w:rFonts w:hint="eastAsia" w:ascii="宋体" w:hAnsi="宋体"/>
          <w:spacing w:val="-6"/>
          <w:sz w:val="21"/>
          <w:szCs w:val="21"/>
        </w:rPr>
        <w:t>领售</w:t>
      </w:r>
      <w:r>
        <w:rPr>
          <w:rFonts w:ascii="宋体" w:hAnsi="宋体"/>
          <w:spacing w:val="-6"/>
          <w:sz w:val="21"/>
          <w:szCs w:val="21"/>
        </w:rPr>
        <w:t>或</w:t>
      </w:r>
      <w:r>
        <w:rPr>
          <w:rFonts w:hint="eastAsia" w:ascii="宋体" w:hAnsi="宋体"/>
          <w:spacing w:val="-6"/>
          <w:sz w:val="21"/>
          <w:szCs w:val="21"/>
        </w:rPr>
        <w:t>电子邮件</w:t>
      </w:r>
      <w:r>
        <w:rPr>
          <w:rFonts w:ascii="宋体" w:hAnsi="宋体"/>
          <w:spacing w:val="-6"/>
          <w:sz w:val="21"/>
          <w:szCs w:val="21"/>
        </w:rPr>
        <w:t>报名</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4.售价：人民币500元整，售后不退。</w:t>
      </w:r>
    </w:p>
    <w:p>
      <w:pPr>
        <w:spacing w:line="288" w:lineRule="auto"/>
        <w:rPr>
          <w:rFonts w:ascii="宋体" w:hAnsi="宋体" w:cs="Arial"/>
          <w:spacing w:val="-6"/>
          <w:sz w:val="24"/>
        </w:rPr>
      </w:pPr>
      <w:r>
        <w:rPr>
          <w:rFonts w:hint="eastAsia" w:ascii="宋体" w:hAnsi="宋体" w:cs="Arial"/>
          <w:b/>
          <w:spacing w:val="-6"/>
          <w:sz w:val="24"/>
        </w:rPr>
        <w:t>七、购买招标文件时应提供以下资料：</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1．报名表（</w:t>
      </w:r>
      <w:r>
        <w:rPr>
          <w:rFonts w:hint="eastAsia" w:ascii="宋体" w:hAnsi="宋体"/>
          <w:spacing w:val="-6"/>
          <w:sz w:val="21"/>
          <w:szCs w:val="21"/>
        </w:rPr>
        <w:t>通过电子</w:t>
      </w:r>
      <w:r>
        <w:rPr>
          <w:rFonts w:ascii="宋体" w:hAnsi="宋体"/>
          <w:spacing w:val="-6"/>
          <w:sz w:val="21"/>
          <w:szCs w:val="21"/>
        </w:rPr>
        <w:t>邮件</w:t>
      </w:r>
      <w:r>
        <w:rPr>
          <w:rFonts w:hint="eastAsia" w:ascii="宋体" w:hAnsi="宋体"/>
          <w:spacing w:val="-6"/>
          <w:sz w:val="21"/>
          <w:szCs w:val="21"/>
        </w:rPr>
        <w:t>报名供应商提供word电子版）</w:t>
      </w:r>
    </w:p>
    <w:p>
      <w:pPr>
        <w:widowControl/>
        <w:spacing w:line="288" w:lineRule="auto"/>
        <w:ind w:firstLine="693" w:firstLineChars="350"/>
        <w:jc w:val="left"/>
        <w:rPr>
          <w:rFonts w:ascii="宋体" w:hAnsi="宋体"/>
          <w:spacing w:val="-6"/>
          <w:sz w:val="21"/>
          <w:szCs w:val="21"/>
        </w:rPr>
      </w:pPr>
      <w:r>
        <w:rPr>
          <w:rFonts w:hint="eastAsia" w:ascii="宋体" w:hAnsi="宋体"/>
          <w:spacing w:val="-6"/>
          <w:sz w:val="21"/>
          <w:szCs w:val="21"/>
        </w:rPr>
        <w:t>报名表下载地址：求是招标网（</w:t>
      </w:r>
      <w:r>
        <w:fldChar w:fldCharType="begin"/>
      </w:r>
      <w:r>
        <w:instrText xml:space="preserve"> HYPERLINK "http://www.qszb.net" </w:instrText>
      </w:r>
      <w:r>
        <w:fldChar w:fldCharType="separate"/>
      </w:r>
      <w:r>
        <w:rPr>
          <w:rStyle w:val="26"/>
          <w:rFonts w:hint="eastAsia" w:ascii="宋体" w:hAnsi="宋体"/>
          <w:color w:val="auto"/>
          <w:spacing w:val="-6"/>
          <w:sz w:val="21"/>
          <w:szCs w:val="21"/>
        </w:rPr>
        <w:t>http://www.qszb.net</w:t>
      </w:r>
      <w:r>
        <w:rPr>
          <w:rStyle w:val="26"/>
          <w:rFonts w:hint="eastAsia" w:ascii="宋体" w:hAnsi="宋体"/>
          <w:color w:val="auto"/>
          <w:spacing w:val="-6"/>
          <w:sz w:val="21"/>
          <w:szCs w:val="21"/>
        </w:rPr>
        <w:fldChar w:fldCharType="end"/>
      </w:r>
      <w:r>
        <w:rPr>
          <w:rFonts w:hint="eastAsia" w:ascii="宋体" w:hAnsi="宋体"/>
          <w:spacing w:val="-6"/>
          <w:sz w:val="21"/>
          <w:szCs w:val="21"/>
        </w:rPr>
        <w:t>）；</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2．有效的法人或者其他组织的营业执照等证明文件（复印件加盖公章）、自然人的身份证明；</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3．办理报名人的有效身份证件及复印件。</w:t>
      </w:r>
    </w:p>
    <w:p>
      <w:pPr>
        <w:widowControl/>
        <w:spacing w:line="288" w:lineRule="auto"/>
        <w:ind w:firstLine="398" w:firstLineChars="200"/>
        <w:jc w:val="left"/>
        <w:rPr>
          <w:rFonts w:ascii="宋体" w:hAnsi="宋体" w:cs="宋体"/>
          <w:b/>
          <w:spacing w:val="-6"/>
          <w:kern w:val="0"/>
          <w:sz w:val="21"/>
          <w:szCs w:val="21"/>
        </w:rPr>
      </w:pPr>
      <w:r>
        <w:rPr>
          <w:rFonts w:hint="eastAsia" w:ascii="宋体" w:hAnsi="宋体" w:cs="宋体"/>
          <w:b/>
          <w:spacing w:val="-6"/>
          <w:kern w:val="0"/>
          <w:sz w:val="21"/>
          <w:szCs w:val="21"/>
        </w:rPr>
        <w:t>备注：</w:t>
      </w:r>
    </w:p>
    <w:p>
      <w:pPr>
        <w:widowControl/>
        <w:spacing w:line="288" w:lineRule="auto"/>
        <w:ind w:firstLine="396" w:firstLineChars="200"/>
        <w:jc w:val="left"/>
        <w:rPr>
          <w:rFonts w:ascii="宋体" w:hAnsi="宋体" w:cs="宋体"/>
          <w:b/>
          <w:spacing w:val="-6"/>
          <w:kern w:val="0"/>
          <w:sz w:val="21"/>
          <w:szCs w:val="21"/>
        </w:rPr>
      </w:pPr>
      <w:r>
        <w:rPr>
          <w:rFonts w:hint="eastAsia" w:ascii="宋体" w:hAnsi="宋体" w:cs="宋体"/>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rPr>
          <w:rFonts w:ascii="宋体" w:hAnsi="宋体" w:cs="Arial"/>
          <w:b/>
          <w:spacing w:val="-6"/>
          <w:sz w:val="24"/>
        </w:rPr>
      </w:pPr>
      <w:r>
        <w:rPr>
          <w:rFonts w:hint="eastAsia" w:ascii="宋体" w:hAnsi="宋体" w:cs="Arial"/>
          <w:b/>
          <w:spacing w:val="-6"/>
          <w:sz w:val="24"/>
        </w:rPr>
        <w:t>八、信用记录：</w:t>
      </w:r>
    </w:p>
    <w:p>
      <w:pPr>
        <w:spacing w:line="288" w:lineRule="auto"/>
        <w:ind w:firstLine="396" w:firstLineChars="200"/>
        <w:rPr>
          <w:rFonts w:ascii="宋体" w:hAnsi="宋体"/>
          <w:spacing w:val="-6"/>
          <w:sz w:val="21"/>
          <w:szCs w:val="21"/>
        </w:rPr>
      </w:pPr>
      <w:r>
        <w:rPr>
          <w:rFonts w:hint="eastAsia" w:ascii="宋体" w:hAnsi="宋体"/>
          <w:spacing w:val="-6"/>
          <w:sz w:val="21"/>
          <w:szCs w:val="21"/>
        </w:rPr>
        <w:t>根据财库[2016]125号《关于在政府采购活动中查询及使用信用记录有关问题的通知》要求，采购代理机构会对供应商信用记录进行查询并甄别。</w:t>
      </w:r>
    </w:p>
    <w:p>
      <w:pPr>
        <w:spacing w:line="288" w:lineRule="auto"/>
        <w:ind w:firstLine="396" w:firstLineChars="200"/>
        <w:rPr>
          <w:rFonts w:ascii="宋体" w:hAnsi="宋体"/>
          <w:spacing w:val="-6"/>
          <w:sz w:val="21"/>
          <w:szCs w:val="21"/>
        </w:rPr>
      </w:pPr>
      <w:r>
        <w:rPr>
          <w:rFonts w:hint="eastAsia" w:ascii="宋体" w:hAnsi="宋体"/>
          <w:spacing w:val="-6"/>
          <w:sz w:val="21"/>
          <w:szCs w:val="21"/>
        </w:rPr>
        <w:t>1.信用信息查询的截止时点：投标截止时间；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2.查询渠道：“信用中国”（</w:t>
      </w:r>
      <w:r>
        <w:fldChar w:fldCharType="begin"/>
      </w:r>
      <w:r>
        <w:instrText xml:space="preserve"> HYPERLINK "http://www.creditchina.gov.cn" </w:instrText>
      </w:r>
      <w:r>
        <w:fldChar w:fldCharType="separate"/>
      </w:r>
      <w:r>
        <w:rPr>
          <w:rStyle w:val="26"/>
          <w:rFonts w:ascii="宋体" w:hAnsi="宋体"/>
          <w:color w:val="auto"/>
          <w:spacing w:val="-6"/>
          <w:sz w:val="21"/>
          <w:szCs w:val="21"/>
        </w:rPr>
        <w:t>www.cr</w:t>
      </w:r>
      <w:bookmarkStart w:id="0" w:name="_Hlt465845358"/>
      <w:r>
        <w:rPr>
          <w:rStyle w:val="26"/>
          <w:rFonts w:ascii="宋体" w:hAnsi="宋体"/>
          <w:color w:val="auto"/>
          <w:spacing w:val="-6"/>
          <w:sz w:val="21"/>
          <w:szCs w:val="21"/>
        </w:rPr>
        <w:t>e</w:t>
      </w:r>
      <w:bookmarkEnd w:id="0"/>
      <w:bookmarkStart w:id="1" w:name="_Hlt465844828"/>
      <w:r>
        <w:rPr>
          <w:rStyle w:val="26"/>
          <w:rFonts w:ascii="宋体" w:hAnsi="宋体"/>
          <w:color w:val="auto"/>
          <w:spacing w:val="-6"/>
          <w:sz w:val="21"/>
          <w:szCs w:val="21"/>
        </w:rPr>
        <w:t>d</w:t>
      </w:r>
      <w:bookmarkEnd w:id="1"/>
      <w:r>
        <w:rPr>
          <w:rStyle w:val="26"/>
          <w:rFonts w:ascii="宋体" w:hAnsi="宋体"/>
          <w:color w:val="auto"/>
          <w:spacing w:val="-6"/>
          <w:sz w:val="21"/>
          <w:szCs w:val="21"/>
        </w:rPr>
        <w:t>i</w:t>
      </w:r>
      <w:bookmarkStart w:id="2" w:name="_Hlt465844862"/>
      <w:r>
        <w:rPr>
          <w:rStyle w:val="26"/>
          <w:rFonts w:ascii="宋体" w:hAnsi="宋体"/>
          <w:color w:val="auto"/>
          <w:spacing w:val="-6"/>
          <w:sz w:val="21"/>
          <w:szCs w:val="21"/>
        </w:rPr>
        <w:t>t</w:t>
      </w:r>
      <w:bookmarkEnd w:id="2"/>
      <w:r>
        <w:rPr>
          <w:rStyle w:val="26"/>
          <w:rFonts w:ascii="宋体" w:hAnsi="宋体"/>
          <w:color w:val="auto"/>
          <w:spacing w:val="-6"/>
          <w:sz w:val="21"/>
          <w:szCs w:val="21"/>
        </w:rPr>
        <w:t>c</w:t>
      </w:r>
      <w:bookmarkStart w:id="3" w:name="_Hlt465844830"/>
      <w:r>
        <w:rPr>
          <w:rStyle w:val="26"/>
          <w:rFonts w:ascii="宋体" w:hAnsi="宋体"/>
          <w:color w:val="auto"/>
          <w:spacing w:val="-6"/>
          <w:sz w:val="21"/>
          <w:szCs w:val="21"/>
        </w:rPr>
        <w:t>h</w:t>
      </w:r>
      <w:bookmarkEnd w:id="3"/>
      <w:r>
        <w:rPr>
          <w:rStyle w:val="26"/>
          <w:rFonts w:ascii="宋体" w:hAnsi="宋体"/>
          <w:color w:val="auto"/>
          <w:spacing w:val="-6"/>
          <w:sz w:val="21"/>
          <w:szCs w:val="21"/>
        </w:rPr>
        <w:t>ina</w:t>
      </w:r>
      <w:bookmarkStart w:id="4" w:name="_Hlt465844836"/>
      <w:r>
        <w:rPr>
          <w:rStyle w:val="26"/>
          <w:rFonts w:ascii="宋体" w:hAnsi="宋体"/>
          <w:color w:val="auto"/>
          <w:spacing w:val="-6"/>
          <w:sz w:val="21"/>
          <w:szCs w:val="21"/>
        </w:rPr>
        <w:t>.</w:t>
      </w:r>
      <w:bookmarkEnd w:id="4"/>
      <w:r>
        <w:rPr>
          <w:rStyle w:val="26"/>
          <w:rFonts w:ascii="宋体" w:hAnsi="宋体"/>
          <w:color w:val="auto"/>
          <w:spacing w:val="-6"/>
          <w:sz w:val="21"/>
          <w:szCs w:val="21"/>
        </w:rPr>
        <w:t>gov.cn</w:t>
      </w:r>
      <w:r>
        <w:rPr>
          <w:rStyle w:val="26"/>
          <w:rFonts w:ascii="宋体" w:hAnsi="宋体"/>
          <w:color w:val="auto"/>
          <w:spacing w:val="-6"/>
          <w:sz w:val="21"/>
          <w:szCs w:val="21"/>
        </w:rPr>
        <w:fldChar w:fldCharType="end"/>
      </w:r>
      <w:r>
        <w:rPr>
          <w:rFonts w:hint="eastAsia" w:ascii="宋体" w:hAnsi="宋体"/>
          <w:spacing w:val="-6"/>
          <w:sz w:val="21"/>
          <w:szCs w:val="21"/>
        </w:rPr>
        <w:t>）、“中国政府采购网”（</w:t>
      </w:r>
      <w:r>
        <w:fldChar w:fldCharType="begin"/>
      </w:r>
      <w:r>
        <w:instrText xml:space="preserve"> HYPERLINK "http://www.ccgp.gov.cn" </w:instrText>
      </w:r>
      <w:r>
        <w:fldChar w:fldCharType="separate"/>
      </w:r>
      <w:r>
        <w:rPr>
          <w:rStyle w:val="26"/>
          <w:rFonts w:hint="eastAsia" w:ascii="宋体" w:hAnsi="宋体"/>
          <w:color w:val="auto"/>
          <w:spacing w:val="-6"/>
          <w:sz w:val="21"/>
          <w:szCs w:val="21"/>
        </w:rPr>
        <w:t>w</w:t>
      </w:r>
      <w:bookmarkStart w:id="5" w:name="_Hlt465844764"/>
      <w:bookmarkStart w:id="6" w:name="_Hlt465844765"/>
      <w:r>
        <w:rPr>
          <w:rStyle w:val="26"/>
          <w:rFonts w:hint="eastAsia" w:ascii="宋体" w:hAnsi="宋体"/>
          <w:color w:val="auto"/>
          <w:spacing w:val="-6"/>
          <w:sz w:val="21"/>
          <w:szCs w:val="21"/>
        </w:rPr>
        <w:t>w</w:t>
      </w:r>
      <w:bookmarkEnd w:id="5"/>
      <w:bookmarkEnd w:id="6"/>
      <w:r>
        <w:rPr>
          <w:rStyle w:val="26"/>
          <w:rFonts w:hint="eastAsia" w:ascii="宋体" w:hAnsi="宋体"/>
          <w:color w:val="auto"/>
          <w:spacing w:val="-6"/>
          <w:sz w:val="21"/>
          <w:szCs w:val="21"/>
        </w:rPr>
        <w:t>w.ccgp.gov.cn</w:t>
      </w:r>
      <w:r>
        <w:rPr>
          <w:rStyle w:val="26"/>
          <w:rFonts w:hint="eastAsia" w:ascii="宋体" w:hAnsi="宋体"/>
          <w:color w:val="auto"/>
          <w:spacing w:val="-6"/>
          <w:sz w:val="21"/>
          <w:szCs w:val="21"/>
        </w:rPr>
        <w:fldChar w:fldCharType="end"/>
      </w:r>
      <w:r>
        <w:rPr>
          <w:rFonts w:hint="eastAsia" w:ascii="宋体" w:hAnsi="宋体"/>
          <w:spacing w:val="-6"/>
          <w:sz w:val="21"/>
          <w:szCs w:val="21"/>
        </w:rPr>
        <w:t>）、“浙江政府采购网（</w:t>
      </w:r>
      <w:r>
        <w:fldChar w:fldCharType="begin"/>
      </w:r>
      <w:r>
        <w:instrText xml:space="preserve"> HYPERLINK "http://www.zjzfcg.gov.cn" </w:instrText>
      </w:r>
      <w:r>
        <w:fldChar w:fldCharType="separate"/>
      </w:r>
      <w:r>
        <w:rPr>
          <w:rStyle w:val="26"/>
          <w:rFonts w:hint="eastAsia" w:ascii="宋体" w:hAnsi="宋体"/>
          <w:color w:val="auto"/>
          <w:spacing w:val="-6"/>
          <w:sz w:val="21"/>
          <w:szCs w:val="21"/>
        </w:rPr>
        <w:t>www.zjzfcg.gov.cn</w:t>
      </w:r>
      <w:r>
        <w:rPr>
          <w:rStyle w:val="26"/>
          <w:rFonts w:hint="eastAsia" w:ascii="宋体" w:hAnsi="宋体"/>
          <w:color w:val="auto"/>
          <w:spacing w:val="-6"/>
          <w:sz w:val="21"/>
          <w:szCs w:val="21"/>
        </w:rPr>
        <w:fldChar w:fldCharType="end"/>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3.信用信息查询记录和证据留存具体方式：采购代理机构经办人和监督人员将查询网页打印、签字与其他采购文件一并保存；</w:t>
      </w:r>
    </w:p>
    <w:p>
      <w:pPr>
        <w:spacing w:line="288" w:lineRule="auto"/>
        <w:ind w:firstLine="396" w:firstLineChars="200"/>
        <w:rPr>
          <w:rFonts w:ascii="宋体" w:hAnsi="宋体"/>
          <w:spacing w:val="-6"/>
          <w:sz w:val="21"/>
          <w:szCs w:val="21"/>
        </w:rPr>
      </w:pPr>
      <w:r>
        <w:rPr>
          <w:rFonts w:hint="eastAsia" w:ascii="宋体" w:hAnsi="宋体"/>
          <w:spacing w:val="-6"/>
          <w:sz w:val="21"/>
          <w:szCs w:val="21"/>
        </w:rPr>
        <w:t>4.信用信息的使用规则：投标人存在不良信用记录的，其投标将被作为无效投标被拒绝。</w:t>
      </w:r>
    </w:p>
    <w:p>
      <w:pPr>
        <w:spacing w:line="288" w:lineRule="auto"/>
        <w:ind w:firstLine="396" w:firstLineChars="200"/>
        <w:rPr>
          <w:rFonts w:ascii="宋体" w:hAnsi="宋体"/>
          <w:spacing w:val="-6"/>
          <w:sz w:val="21"/>
          <w:szCs w:val="21"/>
        </w:rPr>
      </w:pPr>
      <w:r>
        <w:rPr>
          <w:rFonts w:hint="eastAsia" w:ascii="宋体" w:hAnsi="宋体"/>
          <w:spacing w:val="-6"/>
          <w:sz w:val="21"/>
          <w:szCs w:val="21"/>
        </w:rPr>
        <w:t>不良信用记录指：被列入失信被执行人、重大税收违法案件当事人名单、政府采购严重违法失信行为记录名单或浙江政府采购网曝光台中尚在行政处罚期内的。</w:t>
      </w:r>
    </w:p>
    <w:p>
      <w:pPr>
        <w:widowControl/>
        <w:spacing w:line="288" w:lineRule="auto"/>
        <w:jc w:val="left"/>
        <w:rPr>
          <w:rFonts w:ascii="宋体" w:hAnsi="宋体" w:cs="Arial"/>
          <w:b/>
          <w:spacing w:val="-6"/>
          <w:sz w:val="24"/>
        </w:rPr>
      </w:pPr>
      <w:r>
        <w:rPr>
          <w:rFonts w:hint="eastAsia" w:ascii="宋体" w:hAnsi="宋体" w:cs="Arial"/>
          <w:b/>
          <w:spacing w:val="-6"/>
          <w:sz w:val="24"/>
        </w:rPr>
        <w:t>九、投标保证金：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投标保证金（人民币）：壹万陆仟元整。</w:t>
      </w:r>
    </w:p>
    <w:p>
      <w:pPr>
        <w:spacing w:line="288" w:lineRule="auto"/>
        <w:ind w:firstLine="396" w:firstLineChars="200"/>
        <w:rPr>
          <w:rFonts w:ascii="宋体" w:hAnsi="宋体"/>
          <w:spacing w:val="-6"/>
          <w:sz w:val="21"/>
          <w:szCs w:val="21"/>
        </w:rPr>
      </w:pPr>
      <w:bookmarkStart w:id="7" w:name="OLE_LINK1"/>
      <w:r>
        <w:rPr>
          <w:rFonts w:hint="eastAsia" w:ascii="宋体" w:hAnsi="宋体"/>
          <w:spacing w:val="-6"/>
          <w:sz w:val="21"/>
          <w:szCs w:val="21"/>
        </w:rPr>
        <w:t>投标人应于</w:t>
      </w:r>
      <w:r>
        <w:rPr>
          <w:rFonts w:hint="eastAsia" w:ascii="宋体" w:hAnsi="宋体"/>
          <w:spacing w:val="-6"/>
          <w:sz w:val="21"/>
          <w:szCs w:val="21"/>
          <w:lang w:eastAsia="zh-CN"/>
        </w:rPr>
        <w:t>2017年10月24日</w:t>
      </w:r>
      <w:r>
        <w:rPr>
          <w:rFonts w:hint="eastAsia" w:ascii="宋体" w:hAnsi="宋体"/>
          <w:spacing w:val="-6"/>
          <w:sz w:val="21"/>
          <w:szCs w:val="21"/>
        </w:rPr>
        <w:t>下午17:00前在杭州求是招标代理有限公司交纳并到帐（双休日及法定节假日除外）</w:t>
      </w:r>
      <w:bookmarkEnd w:id="7"/>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（地址：杭州市西湖区玉古路173号中田大厦16楼</w:t>
      </w:r>
      <w:r>
        <w:rPr>
          <w:rFonts w:ascii="宋体" w:hAnsi="宋体"/>
          <w:spacing w:val="-6"/>
          <w:sz w:val="21"/>
          <w:szCs w:val="21"/>
        </w:rPr>
        <w:t>H</w:t>
      </w:r>
      <w:r>
        <w:rPr>
          <w:rFonts w:hint="eastAsia" w:ascii="宋体" w:hAnsi="宋体"/>
          <w:spacing w:val="-6"/>
          <w:sz w:val="21"/>
          <w:szCs w:val="21"/>
        </w:rPr>
        <w:t>室财务室）。</w:t>
      </w:r>
    </w:p>
    <w:p>
      <w:pPr>
        <w:widowControl/>
        <w:spacing w:line="288" w:lineRule="auto"/>
        <w:ind w:right="60" w:firstLine="396" w:firstLineChars="200"/>
        <w:jc w:val="left"/>
        <w:rPr>
          <w:rFonts w:ascii="宋体" w:hAnsi="宋体" w:cs="宋体"/>
          <w:b/>
          <w:spacing w:val="-6"/>
          <w:kern w:val="0"/>
          <w:sz w:val="21"/>
          <w:szCs w:val="21"/>
        </w:rPr>
      </w:pPr>
      <w:r>
        <w:rPr>
          <w:rFonts w:hint="eastAsia" w:ascii="宋体" w:hAnsi="宋体" w:cs="宋体"/>
          <w:spacing w:val="-6"/>
          <w:kern w:val="0"/>
          <w:sz w:val="21"/>
          <w:szCs w:val="21"/>
        </w:rPr>
        <w:t>交付方式：</w:t>
      </w:r>
      <w:r>
        <w:rPr>
          <w:rFonts w:hint="eastAsia" w:ascii="宋体" w:hAnsi="宋体" w:cs="宋体"/>
          <w:b/>
          <w:spacing w:val="-6"/>
          <w:kern w:val="0"/>
          <w:sz w:val="21"/>
          <w:szCs w:val="21"/>
        </w:rPr>
        <w:t>转账、银行汇款等非现金方式。</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收款单位（户名）:</w:t>
      </w:r>
      <w:bookmarkStart w:id="8" w:name="B33_户名"/>
      <w:r>
        <w:rPr>
          <w:rFonts w:hint="eastAsia" w:ascii="宋体" w:hAnsi="宋体" w:cs="宋体"/>
          <w:spacing w:val="-6"/>
          <w:kern w:val="0"/>
          <w:sz w:val="21"/>
          <w:szCs w:val="21"/>
        </w:rPr>
        <w:t>杭州求是招标代理有限公司</w:t>
      </w:r>
      <w:bookmarkEnd w:id="8"/>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开户银行：</w:t>
      </w:r>
      <w:bookmarkStart w:id="9" w:name="B34_开户银行"/>
      <w:r>
        <w:rPr>
          <w:rFonts w:hint="eastAsia" w:ascii="宋体" w:hAnsi="宋体" w:cs="宋体"/>
          <w:spacing w:val="-6"/>
          <w:kern w:val="0"/>
          <w:sz w:val="21"/>
          <w:szCs w:val="21"/>
        </w:rPr>
        <w:t>工行浙大支行</w:t>
      </w:r>
      <w:bookmarkEnd w:id="9"/>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银行账号：</w:t>
      </w:r>
      <w:bookmarkStart w:id="10" w:name="B35_账号"/>
      <w:r>
        <w:rPr>
          <w:rFonts w:hint="eastAsia" w:ascii="宋体" w:hAnsi="宋体" w:cs="宋体"/>
          <w:spacing w:val="-6"/>
          <w:kern w:val="0"/>
          <w:sz w:val="21"/>
          <w:szCs w:val="21"/>
        </w:rPr>
        <w:t>1202024609900033043</w:t>
      </w:r>
      <w:bookmarkEnd w:id="10"/>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财务联系方式：0571-87666113</w:t>
      </w:r>
    </w:p>
    <w:p>
      <w:pPr>
        <w:spacing w:line="288" w:lineRule="auto"/>
        <w:jc w:val="left"/>
        <w:rPr>
          <w:rFonts w:ascii="宋体" w:hAnsi="宋体" w:cs="Arial"/>
          <w:spacing w:val="-6"/>
          <w:sz w:val="24"/>
        </w:rPr>
      </w:pPr>
      <w:r>
        <w:rPr>
          <w:rFonts w:hint="eastAsia" w:ascii="宋体" w:hAnsi="宋体" w:cs="Arial"/>
          <w:b/>
          <w:bCs/>
          <w:spacing w:val="-6"/>
          <w:sz w:val="24"/>
        </w:rPr>
        <w:t>十、投标截止时间和地点</w:t>
      </w:r>
      <w:r>
        <w:rPr>
          <w:rFonts w:hint="eastAsia" w:ascii="宋体" w:hAnsi="宋体" w:cs="Arial"/>
          <w:spacing w:val="-6"/>
          <w:sz w:val="24"/>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2017年10月25日上午9:30</w:t>
      </w:r>
      <w:r>
        <w:rPr>
          <w:rFonts w:hint="eastAsia" w:ascii="宋体" w:hAnsi="宋体"/>
          <w:spacing w:val="-6"/>
          <w:sz w:val="21"/>
          <w:szCs w:val="21"/>
        </w:rPr>
        <w:t>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地点：杭州市西湖区玉古路173号中田大厦16楼求是招标会议室；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投标人应按规定将投标文件密封送达，逾期送达或未密封将予以拒收。</w:t>
      </w:r>
    </w:p>
    <w:p>
      <w:pPr>
        <w:spacing w:line="288" w:lineRule="auto"/>
        <w:rPr>
          <w:rFonts w:ascii="宋体" w:hAnsi="宋体" w:cs="Arial"/>
          <w:spacing w:val="-6"/>
          <w:sz w:val="24"/>
        </w:rPr>
      </w:pPr>
      <w:r>
        <w:rPr>
          <w:rFonts w:hint="eastAsia" w:ascii="宋体" w:hAnsi="宋体" w:cs="Arial"/>
          <w:b/>
          <w:bCs/>
          <w:spacing w:val="-6"/>
          <w:sz w:val="24"/>
        </w:rPr>
        <w:t>十一、开标时间及地点</w:t>
      </w:r>
      <w:r>
        <w:rPr>
          <w:rFonts w:hint="eastAsia" w:ascii="宋体" w:hAnsi="宋体" w:cs="Arial"/>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2017年10月25日上午9:30</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地点：杭州市西湖区玉古路173号中田大厦16楼求是招标会议室。</w:t>
      </w:r>
    </w:p>
    <w:p>
      <w:pPr>
        <w:spacing w:line="288" w:lineRule="auto"/>
        <w:rPr>
          <w:rFonts w:ascii="宋体" w:hAnsi="宋体" w:cs="Arial"/>
          <w:b/>
          <w:spacing w:val="-6"/>
          <w:sz w:val="24"/>
        </w:rPr>
      </w:pPr>
      <w:r>
        <w:rPr>
          <w:rFonts w:hint="eastAsia" w:ascii="宋体" w:hAnsi="宋体" w:cs="Arial"/>
          <w:b/>
          <w:spacing w:val="-6"/>
          <w:sz w:val="24"/>
        </w:rPr>
        <w:t>十二、业务咨询：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采购人：中国美术学院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地址：杭州市南山路218号</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联系人：吴老师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联系方式：0571-87164696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采购代理机构名称：杭州求是招标代理有限公司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地址：杭州市西湖区玉古路173号中田大厦16楼</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业务联系人：孙</w:t>
      </w:r>
      <w:r>
        <w:rPr>
          <w:rFonts w:ascii="宋体" w:hAnsi="宋体" w:cs="宋体"/>
          <w:spacing w:val="-6"/>
          <w:kern w:val="0"/>
          <w:sz w:val="21"/>
          <w:szCs w:val="21"/>
        </w:rPr>
        <w:t>伟</w:t>
      </w:r>
      <w:r>
        <w:rPr>
          <w:rFonts w:hint="eastAsia" w:ascii="宋体" w:hAnsi="宋体" w:cs="宋体"/>
          <w:spacing w:val="-6"/>
          <w:kern w:val="0"/>
          <w:sz w:val="21"/>
          <w:szCs w:val="21"/>
        </w:rPr>
        <w:t>健</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联系方式：0571-87666115</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报名联系人：於路莹</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联系方式：0571-87666112</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传真：0571-87666116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报名邮箱：</w:t>
      </w:r>
      <w:r>
        <w:fldChar w:fldCharType="begin"/>
      </w:r>
      <w:r>
        <w:instrText xml:space="preserve"> HYPERLINK "mailto:qszb010@126.com" </w:instrText>
      </w:r>
      <w:r>
        <w:fldChar w:fldCharType="separate"/>
      </w:r>
      <w:r>
        <w:rPr>
          <w:rStyle w:val="26"/>
          <w:rFonts w:ascii="宋体" w:hAnsi="宋体" w:cs="宋体"/>
          <w:color w:val="auto"/>
          <w:spacing w:val="-6"/>
          <w:kern w:val="0"/>
          <w:sz w:val="21"/>
          <w:szCs w:val="21"/>
        </w:rPr>
        <w:t>qszb010@126.com</w:t>
      </w:r>
      <w:r>
        <w:rPr>
          <w:rStyle w:val="26"/>
          <w:rFonts w:ascii="宋体" w:hAnsi="宋体" w:cs="宋体"/>
          <w:color w:val="auto"/>
          <w:spacing w:val="-6"/>
          <w:kern w:val="0"/>
          <w:sz w:val="21"/>
          <w:szCs w:val="21"/>
        </w:rPr>
        <w:fldChar w:fldCharType="end"/>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采购代理机构质疑联系人：王</w:t>
      </w:r>
      <w:r>
        <w:rPr>
          <w:rFonts w:ascii="宋体" w:hAnsi="宋体" w:cs="宋体"/>
          <w:spacing w:val="-6"/>
          <w:kern w:val="0"/>
          <w:sz w:val="21"/>
          <w:szCs w:val="21"/>
        </w:rPr>
        <w:t>庆庆</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联系方式：0571-87666119</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同级政府采购监管部门：浙江省财政厅政府采购监管处</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联系人：倪文良</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监督投诉电话：0571-87057615</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地址：杭州市环城西路37号</w:t>
      </w:r>
    </w:p>
    <w:p>
      <w:pPr>
        <w:spacing w:line="288" w:lineRule="auto"/>
        <w:rPr>
          <w:rFonts w:ascii="宋体" w:hAnsi="宋体" w:cs="Arial"/>
          <w:b/>
          <w:spacing w:val="-6"/>
          <w:sz w:val="24"/>
        </w:rPr>
      </w:pPr>
      <w:r>
        <w:rPr>
          <w:rFonts w:hint="eastAsia" w:ascii="宋体" w:hAnsi="宋体" w:cs="Arial"/>
          <w:b/>
          <w:spacing w:val="-6"/>
          <w:sz w:val="24"/>
        </w:rPr>
        <w:t>十三、采购项目需要落实的政府采购政策：</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1.政府采购促进中小企业发展</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2.政府采购支持监狱企业发展</w:t>
      </w:r>
    </w:p>
    <w:p>
      <w:pPr>
        <w:spacing w:line="288" w:lineRule="auto"/>
        <w:ind w:left="238"/>
        <w:jc w:val="center"/>
        <w:rPr>
          <w:rFonts w:ascii="宋体" w:hAnsi="宋体"/>
          <w:b/>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招</w:t>
      </w:r>
      <w:r>
        <w:rPr>
          <w:rFonts w:hint="eastAsia" w:ascii="宋体" w:hAnsi="宋体"/>
          <w:b/>
          <w:sz w:val="32"/>
          <w:szCs w:val="32"/>
        </w:rPr>
        <w:t>标需求</w:t>
      </w:r>
    </w:p>
    <w:p>
      <w:pPr>
        <w:spacing w:line="288" w:lineRule="auto"/>
        <w:rPr>
          <w:rFonts w:ascii="宋体" w:hAnsi="宋体"/>
          <w:b/>
          <w:bCs/>
          <w:szCs w:val="28"/>
        </w:rPr>
      </w:pPr>
      <w:r>
        <w:rPr>
          <w:rFonts w:hint="eastAsia" w:ascii="宋体" w:hAnsi="宋体"/>
          <w:b/>
          <w:bCs/>
          <w:szCs w:val="28"/>
        </w:rPr>
        <w:t>一、技术要求</w:t>
      </w:r>
    </w:p>
    <w:p>
      <w:pPr>
        <w:spacing w:line="288" w:lineRule="auto"/>
        <w:rPr>
          <w:rFonts w:ascii="宋体" w:hAnsi="宋体"/>
          <w:b/>
          <w:bCs/>
          <w:sz w:val="21"/>
          <w:szCs w:val="21"/>
        </w:rPr>
      </w:pPr>
      <w:r>
        <w:rPr>
          <w:rFonts w:hint="eastAsia" w:ascii="宋体" w:hAnsi="宋体"/>
          <w:b/>
          <w:bCs/>
          <w:sz w:val="21"/>
          <w:szCs w:val="21"/>
        </w:rPr>
        <w:t>（一）项目概况</w:t>
      </w:r>
    </w:p>
    <w:p>
      <w:pPr>
        <w:spacing w:line="288" w:lineRule="auto"/>
        <w:ind w:firstLine="422" w:firstLineChars="200"/>
        <w:rPr>
          <w:rFonts w:ascii="宋体" w:hAnsi="宋体"/>
          <w:b/>
          <w:bCs/>
          <w:sz w:val="21"/>
          <w:szCs w:val="21"/>
        </w:rPr>
      </w:pPr>
      <w:r>
        <w:rPr>
          <w:rFonts w:hint="eastAsia" w:ascii="宋体" w:hAnsi="宋体"/>
          <w:b/>
          <w:bCs/>
          <w:sz w:val="21"/>
          <w:szCs w:val="21"/>
        </w:rPr>
        <w:t>1.学校信息化建设现状</w:t>
      </w:r>
    </w:p>
    <w:p>
      <w:pPr>
        <w:spacing w:line="288" w:lineRule="auto"/>
        <w:ind w:firstLine="420" w:firstLineChars="200"/>
        <w:rPr>
          <w:rFonts w:ascii="宋体" w:hAnsi="宋体"/>
          <w:sz w:val="21"/>
          <w:szCs w:val="21"/>
        </w:rPr>
      </w:pPr>
      <w:r>
        <w:rPr>
          <w:rFonts w:hint="eastAsia" w:ascii="宋体" w:hAnsi="宋体"/>
          <w:sz w:val="21"/>
          <w:szCs w:val="21"/>
        </w:rPr>
        <w:t>学校自2013年启动了“数字化校园（一期）项目”建设，制定发布了学校数据标准规范，建成了统一身份认证、统一信息门户、统一数据中心三大基础平台，实现了统一身份认证、VPN、无线认证的无缝对接；学校现使用的业务信息系统主要有：站群管理系统、协同办公系统、教务管理系统、学工系统、档案系统、科研系统、人事系统、图书馆系统、一卡通系统等。在统一数据标准、统一数据中心的基础上，实现了师生基本信息等部分数据的集中交换、单个业务系统的数据采集和管理、唯一准入授权准出，以及业务信息系统单点登录。</w:t>
      </w:r>
    </w:p>
    <w:p>
      <w:pPr>
        <w:spacing w:line="288" w:lineRule="auto"/>
        <w:ind w:firstLine="420" w:firstLineChars="200"/>
        <w:rPr>
          <w:rFonts w:ascii="宋体" w:hAnsi="宋体"/>
          <w:sz w:val="21"/>
          <w:szCs w:val="21"/>
        </w:rPr>
      </w:pPr>
      <w:r>
        <w:rPr>
          <w:rFonts w:hint="eastAsia" w:ascii="宋体" w:hAnsi="宋体"/>
          <w:sz w:val="21"/>
          <w:szCs w:val="21"/>
        </w:rPr>
        <w:t>学校现阶段的数字化校园建设主要解决了业务流程处理的信息化，业务数据采集的数字化,实现了基础数据的共享，各业务系统的数据已经在数据中心沉淀。但数据共享和利用能力较低、数据服务缺乏，甚至不同业务系统重复填报信息，增加了负担，使得终端用户缺少获得感。究其根源主要在于：数据中心缺乏有效的数据分析和数据的挖掘管理工具、缺乏数据清洗集成功能，难以实现高效的跨业务系统数据分析和展现，无法给教学和学生提供综合的数据服务，不同厂家开发的业务系统形成信息孤岛，出现烟囱现象，形成了数据共享和应用服务的瓶颈。</w:t>
      </w:r>
    </w:p>
    <w:p>
      <w:pPr>
        <w:spacing w:line="288" w:lineRule="auto"/>
        <w:ind w:firstLine="422" w:firstLineChars="200"/>
        <w:rPr>
          <w:rFonts w:ascii="宋体" w:hAnsi="宋体"/>
          <w:b/>
          <w:bCs/>
          <w:sz w:val="21"/>
          <w:szCs w:val="21"/>
        </w:rPr>
      </w:pPr>
      <w:r>
        <w:rPr>
          <w:rFonts w:hint="eastAsia" w:ascii="宋体" w:hAnsi="宋体"/>
          <w:b/>
          <w:bCs/>
          <w:sz w:val="21"/>
          <w:szCs w:val="21"/>
        </w:rPr>
        <w:t>2.项目总体建设目标</w:t>
      </w:r>
    </w:p>
    <w:p>
      <w:pPr>
        <w:spacing w:line="288" w:lineRule="auto"/>
        <w:ind w:firstLine="420" w:firstLineChars="200"/>
        <w:rPr>
          <w:rFonts w:ascii="宋体" w:hAnsi="宋体"/>
          <w:sz w:val="21"/>
          <w:szCs w:val="21"/>
        </w:rPr>
      </w:pPr>
      <w:r>
        <w:rPr>
          <w:rFonts w:hint="eastAsia" w:ascii="宋体" w:hAnsi="宋体"/>
          <w:sz w:val="21"/>
          <w:szCs w:val="21"/>
        </w:rPr>
        <w:t>本项目要求通过对学校业务信息系统数据的清洗和整合处理，建设高效稳定的数据分析仓库和便捷实用的数据服务体系，开展数据共享服务，为智慧校园建设提供数据支撑。即以综合数据应用平台建设为抓手，完善和优化各类信息标准，通过对学校现有业务信息系统数据监测、清洗、治理和整合，建设师生个人数据库和各类主题数据库，实现数据集中存储、高效交换、可视化管理；建设面向学校、部门、师生的三级数据服务体系，实现一站式数据服务门户、统一数据填报和一表通数据服务、高基报表及状态数据填报服务，为信息查询、统计分析、数据挖掘和决策支持提供高效的数据支撑和应用服务。</w:t>
      </w:r>
    </w:p>
    <w:p>
      <w:pPr>
        <w:spacing w:line="288" w:lineRule="auto"/>
        <w:ind w:firstLine="422" w:firstLineChars="200"/>
        <w:rPr>
          <w:rFonts w:ascii="宋体" w:hAnsi="宋体"/>
          <w:b/>
          <w:bCs/>
          <w:sz w:val="21"/>
          <w:szCs w:val="21"/>
        </w:rPr>
      </w:pPr>
      <w:r>
        <w:rPr>
          <w:rFonts w:hint="eastAsia" w:ascii="宋体" w:hAnsi="宋体"/>
          <w:b/>
          <w:bCs/>
          <w:sz w:val="21"/>
          <w:szCs w:val="21"/>
        </w:rPr>
        <w:t>3.项目总体建设原则</w:t>
      </w:r>
    </w:p>
    <w:p>
      <w:pPr>
        <w:spacing w:line="288" w:lineRule="auto"/>
        <w:ind w:firstLine="420" w:firstLineChars="200"/>
        <w:rPr>
          <w:rFonts w:ascii="宋体" w:hAnsi="宋体"/>
          <w:sz w:val="21"/>
          <w:szCs w:val="21"/>
        </w:rPr>
      </w:pPr>
      <w:r>
        <w:rPr>
          <w:rFonts w:hint="eastAsia" w:ascii="宋体" w:hAnsi="宋体"/>
          <w:sz w:val="21"/>
          <w:szCs w:val="21"/>
        </w:rPr>
        <w:t>系统采用B/S架构，基于所购报表平台为基础，进行二次开发，以集中部署的方式，支持Unix、Linux、Windows等操作系统，支持Oracle数据库。使用J2EE技术开发, 采用组件技术及在数据交换上对XML的支持。</w:t>
      </w:r>
    </w:p>
    <w:p>
      <w:pPr>
        <w:spacing w:line="288" w:lineRule="auto"/>
        <w:ind w:firstLine="420" w:firstLineChars="200"/>
        <w:rPr>
          <w:rFonts w:ascii="宋体" w:hAnsi="宋体"/>
          <w:sz w:val="21"/>
          <w:szCs w:val="21"/>
        </w:rPr>
      </w:pPr>
      <w:r>
        <w:rPr>
          <w:rFonts w:hint="eastAsia" w:ascii="宋体" w:hAnsi="宋体"/>
          <w:sz w:val="21"/>
          <w:szCs w:val="21"/>
        </w:rPr>
        <w:t>系统必须遵循以下技术方面的原则：</w:t>
      </w:r>
    </w:p>
    <w:p>
      <w:pPr>
        <w:spacing w:line="288" w:lineRule="auto"/>
        <w:ind w:firstLine="422" w:firstLineChars="200"/>
        <w:rPr>
          <w:rFonts w:ascii="宋体" w:hAnsi="宋体"/>
          <w:b/>
          <w:bCs/>
          <w:sz w:val="21"/>
          <w:szCs w:val="21"/>
        </w:rPr>
      </w:pPr>
      <w:r>
        <w:rPr>
          <w:rFonts w:hint="eastAsia" w:ascii="宋体" w:hAnsi="宋体"/>
          <w:b/>
          <w:bCs/>
          <w:sz w:val="21"/>
          <w:szCs w:val="21"/>
        </w:rPr>
        <w:t>1.1先进性和成熟性</w:t>
      </w:r>
    </w:p>
    <w:p>
      <w:pPr>
        <w:spacing w:line="288" w:lineRule="auto"/>
        <w:ind w:firstLine="420" w:firstLineChars="200"/>
        <w:rPr>
          <w:rFonts w:ascii="宋体" w:hAnsi="宋体"/>
          <w:sz w:val="21"/>
          <w:szCs w:val="21"/>
        </w:rPr>
      </w:pPr>
      <w:r>
        <w:rPr>
          <w:rFonts w:hint="eastAsia" w:ascii="宋体" w:hAnsi="宋体"/>
          <w:sz w:val="21"/>
          <w:szCs w:val="21"/>
        </w:rPr>
        <w:t>系统设计采用超前思维，先进技术和系统工程方法，同时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pPr>
        <w:spacing w:line="288" w:lineRule="auto"/>
        <w:ind w:firstLine="422" w:firstLineChars="200"/>
        <w:rPr>
          <w:rFonts w:ascii="宋体" w:hAnsi="宋体"/>
          <w:b/>
          <w:bCs/>
          <w:sz w:val="21"/>
          <w:szCs w:val="21"/>
        </w:rPr>
      </w:pPr>
      <w:r>
        <w:rPr>
          <w:rFonts w:hint="eastAsia" w:ascii="宋体" w:hAnsi="宋体"/>
          <w:b/>
          <w:bCs/>
          <w:sz w:val="21"/>
          <w:szCs w:val="21"/>
        </w:rPr>
        <w:t>1.2平台化和开放性</w:t>
      </w:r>
    </w:p>
    <w:p>
      <w:pPr>
        <w:spacing w:line="288" w:lineRule="auto"/>
        <w:ind w:firstLine="420" w:firstLineChars="200"/>
        <w:rPr>
          <w:rFonts w:ascii="宋体" w:hAnsi="宋体"/>
          <w:sz w:val="21"/>
          <w:szCs w:val="21"/>
        </w:rPr>
      </w:pPr>
      <w:r>
        <w:rPr>
          <w:rFonts w:hint="eastAsia" w:ascii="宋体" w:hAnsi="宋体"/>
          <w:sz w:val="21"/>
          <w:szCs w:val="21"/>
        </w:rPr>
        <w:t>为整合资源和汇聚数据的需要，需要建设平台化的应用，具有开放性。既能满足已有应用系统的对接集成，又能提供标准开发的接口，快速接入其他应用。并建设应用的准入审核机制，让应用无缝对接。</w:t>
      </w:r>
    </w:p>
    <w:p>
      <w:pPr>
        <w:spacing w:line="288" w:lineRule="auto"/>
        <w:ind w:firstLine="422" w:firstLineChars="200"/>
        <w:rPr>
          <w:rFonts w:ascii="宋体" w:hAnsi="宋体"/>
          <w:b/>
          <w:bCs/>
          <w:sz w:val="21"/>
          <w:szCs w:val="21"/>
        </w:rPr>
      </w:pPr>
      <w:r>
        <w:rPr>
          <w:rFonts w:hint="eastAsia" w:ascii="宋体" w:hAnsi="宋体"/>
          <w:b/>
          <w:bCs/>
          <w:sz w:val="21"/>
          <w:szCs w:val="21"/>
        </w:rPr>
        <w:t>1.3可靠性和稳定性</w:t>
      </w:r>
    </w:p>
    <w:p>
      <w:pPr>
        <w:spacing w:line="288" w:lineRule="auto"/>
        <w:ind w:firstLine="420" w:firstLineChars="200"/>
        <w:rPr>
          <w:rFonts w:ascii="宋体" w:hAnsi="宋体"/>
          <w:sz w:val="21"/>
          <w:szCs w:val="21"/>
        </w:rPr>
      </w:pPr>
      <w:r>
        <w:rPr>
          <w:rFonts w:hint="eastAsia" w:ascii="宋体" w:hAnsi="宋体"/>
          <w:sz w:val="21"/>
          <w:szCs w:val="21"/>
        </w:rPr>
        <w:t>在考虑技术先进性和开放性的同时，还从系统结构，技术措施，系统管理等方面着手，确保系统运行的可靠性和稳定性，达到最大的平均无故障时间。</w:t>
      </w:r>
    </w:p>
    <w:p>
      <w:pPr>
        <w:spacing w:line="288" w:lineRule="auto"/>
        <w:ind w:firstLine="422" w:firstLineChars="200"/>
        <w:rPr>
          <w:rFonts w:ascii="宋体" w:hAnsi="宋体"/>
          <w:b/>
          <w:bCs/>
          <w:sz w:val="21"/>
          <w:szCs w:val="21"/>
        </w:rPr>
      </w:pPr>
      <w:r>
        <w:rPr>
          <w:rFonts w:hint="eastAsia" w:ascii="宋体" w:hAnsi="宋体"/>
          <w:b/>
          <w:bCs/>
          <w:sz w:val="21"/>
          <w:szCs w:val="21"/>
        </w:rPr>
        <w:t>1.4可扩展性及易升级性</w:t>
      </w:r>
    </w:p>
    <w:p>
      <w:pPr>
        <w:spacing w:line="288" w:lineRule="auto"/>
        <w:ind w:firstLine="420" w:firstLineChars="200"/>
        <w:rPr>
          <w:rFonts w:ascii="宋体" w:hAnsi="宋体"/>
          <w:sz w:val="21"/>
          <w:szCs w:val="21"/>
        </w:rPr>
      </w:pPr>
      <w:r>
        <w:rPr>
          <w:rFonts w:hint="eastAsia" w:ascii="宋体" w:hAnsi="宋体"/>
          <w:sz w:val="21"/>
          <w:szCs w:val="21"/>
        </w:rPr>
        <w:t>为适应应用不断拓展的需要，应用系统的软硬件环境具有良好的平滑可扩充性，支持轻应用可通过后台配置及插件自由组合的方式实现。系统具有高度的可管理性，使得管理员和运行维护人员的管理简便快捷，降低运行维护费用。系统用户必须坚持易维护的设计原则，确保结构清晰、界面友好、操作简单、维护方便。</w:t>
      </w:r>
    </w:p>
    <w:p>
      <w:pPr>
        <w:spacing w:line="288" w:lineRule="auto"/>
        <w:ind w:firstLine="422" w:firstLineChars="200"/>
        <w:rPr>
          <w:rFonts w:ascii="宋体" w:hAnsi="宋体"/>
          <w:b/>
          <w:bCs/>
          <w:sz w:val="21"/>
          <w:szCs w:val="21"/>
        </w:rPr>
      </w:pPr>
      <w:r>
        <w:rPr>
          <w:rFonts w:hint="eastAsia" w:ascii="宋体" w:hAnsi="宋体"/>
          <w:b/>
          <w:bCs/>
          <w:sz w:val="21"/>
          <w:szCs w:val="21"/>
        </w:rPr>
        <w:t>1.5技术规范和标准</w:t>
      </w:r>
    </w:p>
    <w:p>
      <w:pPr>
        <w:spacing w:line="288" w:lineRule="auto"/>
        <w:ind w:firstLine="420" w:firstLineChars="200"/>
        <w:rPr>
          <w:rFonts w:ascii="宋体" w:hAnsi="宋体"/>
          <w:sz w:val="21"/>
          <w:szCs w:val="21"/>
        </w:rPr>
      </w:pPr>
      <w:r>
        <w:rPr>
          <w:rFonts w:hint="eastAsia" w:ascii="宋体" w:hAnsi="宋体"/>
          <w:sz w:val="21"/>
          <w:szCs w:val="21"/>
        </w:rPr>
        <w:t>遵照已制订的相关信息标准、技术标准和数据管理标准，建立统一的技术规范和标准，建立统一的用户认证、统一的数据字典、统一的管理规范，并为第三方软件提供二次开发所需的接口规范，接口设计主要包括应用系统集成接口、数据交换接口等，实现与已有系统、计划建设系统的无缝对接。</w:t>
      </w:r>
    </w:p>
    <w:p>
      <w:pPr>
        <w:spacing w:line="288" w:lineRule="auto"/>
        <w:ind w:firstLine="422" w:firstLineChars="200"/>
        <w:rPr>
          <w:rFonts w:ascii="宋体" w:hAnsi="宋体"/>
          <w:b/>
          <w:bCs/>
          <w:sz w:val="21"/>
          <w:szCs w:val="21"/>
        </w:rPr>
      </w:pPr>
      <w:r>
        <w:rPr>
          <w:rFonts w:hint="eastAsia" w:ascii="宋体" w:hAnsi="宋体"/>
          <w:b/>
          <w:bCs/>
          <w:sz w:val="21"/>
          <w:szCs w:val="21"/>
        </w:rPr>
        <w:t>1.6安全性和保密性</w:t>
      </w:r>
    </w:p>
    <w:p>
      <w:pPr>
        <w:spacing w:line="288" w:lineRule="auto"/>
        <w:ind w:firstLine="420" w:firstLineChars="200"/>
        <w:rPr>
          <w:rFonts w:ascii="宋体" w:hAnsi="宋体"/>
          <w:sz w:val="21"/>
          <w:szCs w:val="21"/>
        </w:rPr>
      </w:pPr>
      <w:r>
        <w:rPr>
          <w:rFonts w:hint="eastAsia" w:ascii="宋体" w:hAnsi="宋体"/>
          <w:sz w:val="21"/>
          <w:szCs w:val="21"/>
        </w:rPr>
        <w:t>系统具有完备的用户权限管理功能，实现分层管理、多级协作的权限分配机制和工作流配置管理，禁止超越权限的操作，保护原始数据，保护系统免遭破坏，信息资源的充分共享，更要注意信息的保护和隔离，设置系统安全机制，数据存取的权限控制。应实现高可靠性的数据备份方式，无需人工干预的前提下实现数据不少于每日自动异机备份，系统瘫痪（如数据库瘫痪、硬盘故障等）恢复时间应小于1小时。</w:t>
      </w:r>
    </w:p>
    <w:p>
      <w:pPr>
        <w:spacing w:line="288" w:lineRule="auto"/>
        <w:ind w:firstLine="422" w:firstLineChars="200"/>
        <w:rPr>
          <w:rFonts w:ascii="宋体" w:hAnsi="宋体"/>
          <w:b/>
          <w:bCs/>
          <w:sz w:val="21"/>
          <w:szCs w:val="21"/>
        </w:rPr>
      </w:pPr>
      <w:r>
        <w:rPr>
          <w:rFonts w:hint="eastAsia" w:ascii="宋体" w:hAnsi="宋体"/>
          <w:b/>
          <w:bCs/>
          <w:sz w:val="21"/>
          <w:szCs w:val="21"/>
        </w:rPr>
        <w:t>1.7实用性和高性能</w:t>
      </w:r>
    </w:p>
    <w:p>
      <w:pPr>
        <w:spacing w:line="288" w:lineRule="auto"/>
        <w:ind w:firstLine="420" w:firstLineChars="200"/>
        <w:rPr>
          <w:rFonts w:ascii="宋体" w:hAnsi="宋体"/>
          <w:sz w:val="21"/>
          <w:szCs w:val="21"/>
        </w:rPr>
      </w:pPr>
      <w:r>
        <w:rPr>
          <w:rFonts w:hint="eastAsia" w:ascii="宋体" w:hAnsi="宋体"/>
          <w:sz w:val="21"/>
          <w:szCs w:val="21"/>
        </w:rPr>
        <w:t>采用的技术具有实用、成熟、稳定、安全的特点，以提高系统整体运行效率为重点，既便于用户使用，又便于系统管理。应用服务器及和数据库服务器要求安装在不同的物理服务器上分级部署，支持5000注册用户同时在线，单台服务器支持普通应用并发&gt;1000用户，确保在大并发访问量下的稳定可靠，具备系统运行监控和数据备份的有效策略和机制。</w:t>
      </w:r>
    </w:p>
    <w:p>
      <w:pPr>
        <w:spacing w:line="288" w:lineRule="auto"/>
        <w:ind w:firstLine="422" w:firstLineChars="200"/>
        <w:rPr>
          <w:rFonts w:ascii="宋体" w:hAnsi="宋体"/>
          <w:b/>
          <w:bCs/>
          <w:sz w:val="21"/>
          <w:szCs w:val="21"/>
        </w:rPr>
      </w:pPr>
      <w:r>
        <w:rPr>
          <w:rFonts w:hint="eastAsia" w:ascii="宋体" w:hAnsi="宋体"/>
          <w:b/>
          <w:bCs/>
          <w:sz w:val="21"/>
          <w:szCs w:val="21"/>
        </w:rPr>
        <w:t>4.项目总体技术要求</w:t>
      </w:r>
    </w:p>
    <w:p>
      <w:pPr>
        <w:spacing w:line="288" w:lineRule="auto"/>
        <w:ind w:firstLine="420" w:firstLineChars="200"/>
        <w:rPr>
          <w:rFonts w:ascii="宋体" w:hAnsi="宋体"/>
          <w:sz w:val="21"/>
          <w:szCs w:val="21"/>
        </w:rPr>
      </w:pPr>
      <w:r>
        <w:rPr>
          <w:rFonts w:hint="eastAsia" w:ascii="宋体" w:hAnsi="宋体"/>
          <w:sz w:val="21"/>
          <w:szCs w:val="21"/>
        </w:rPr>
        <w:t>各系统均要求采用B/S结构，可运行于Unix、Linux、Windows等高安全性操作系统。开发技术应采用目前业界主流的软件技术、组件技术、数据标准及相关技术规范，使系统功能最优化，同时将整体系统内部在技术上的相互依赖性减至最低。</w:t>
      </w:r>
    </w:p>
    <w:p>
      <w:pPr>
        <w:spacing w:line="288" w:lineRule="auto"/>
        <w:ind w:firstLine="422" w:firstLineChars="200"/>
        <w:rPr>
          <w:rFonts w:ascii="宋体" w:hAnsi="宋体"/>
          <w:b/>
          <w:bCs/>
          <w:sz w:val="21"/>
          <w:szCs w:val="21"/>
        </w:rPr>
      </w:pPr>
      <w:r>
        <w:rPr>
          <w:rFonts w:hint="eastAsia" w:ascii="宋体" w:hAnsi="宋体"/>
          <w:b/>
          <w:bCs/>
          <w:sz w:val="21"/>
          <w:szCs w:val="21"/>
        </w:rPr>
        <w:t>4.1基于B/S三层结构，开发网络应用系统</w:t>
      </w:r>
    </w:p>
    <w:p>
      <w:pPr>
        <w:spacing w:line="288" w:lineRule="auto"/>
        <w:ind w:firstLine="420" w:firstLineChars="200"/>
        <w:rPr>
          <w:rFonts w:ascii="宋体" w:hAnsi="宋体"/>
          <w:sz w:val="21"/>
          <w:szCs w:val="21"/>
        </w:rPr>
      </w:pPr>
      <w:r>
        <w:rPr>
          <w:rFonts w:hint="eastAsia" w:ascii="宋体" w:hAnsi="宋体"/>
          <w:sz w:val="21"/>
          <w:szCs w:val="21"/>
        </w:rPr>
        <w:t>要求在技术体系上选用J2EE技术，采用B/S三层结构进行应用系统的开发。</w:t>
      </w:r>
    </w:p>
    <w:p>
      <w:pPr>
        <w:spacing w:line="288" w:lineRule="auto"/>
        <w:ind w:firstLine="422" w:firstLineChars="200"/>
        <w:rPr>
          <w:rFonts w:ascii="宋体" w:hAnsi="宋体"/>
          <w:b/>
          <w:bCs/>
          <w:sz w:val="21"/>
          <w:szCs w:val="21"/>
        </w:rPr>
      </w:pPr>
      <w:r>
        <w:rPr>
          <w:rFonts w:hint="eastAsia" w:ascii="宋体" w:hAnsi="宋体"/>
          <w:b/>
          <w:bCs/>
          <w:sz w:val="21"/>
          <w:szCs w:val="21"/>
        </w:rPr>
        <w:t>4.2基于J2EE应用平台，分布式、高可靠性、先进的解决方案</w:t>
      </w:r>
    </w:p>
    <w:p>
      <w:pPr>
        <w:spacing w:line="288" w:lineRule="auto"/>
        <w:ind w:firstLine="420" w:firstLineChars="200"/>
        <w:rPr>
          <w:rFonts w:ascii="宋体" w:hAnsi="宋体"/>
          <w:sz w:val="21"/>
          <w:szCs w:val="21"/>
        </w:rPr>
      </w:pPr>
      <w:r>
        <w:rPr>
          <w:rFonts w:hint="eastAsia" w:ascii="宋体" w:hAnsi="宋体"/>
          <w:sz w:val="21"/>
          <w:szCs w:val="21"/>
        </w:rPr>
        <w:t>本项目要求基于成熟的J2EE应用平台，提供分布式、高可靠性、先进的解决方案。</w:t>
      </w:r>
    </w:p>
    <w:p>
      <w:pPr>
        <w:spacing w:line="288" w:lineRule="auto"/>
        <w:ind w:firstLine="422" w:firstLineChars="200"/>
        <w:rPr>
          <w:rFonts w:ascii="宋体" w:hAnsi="宋体"/>
          <w:b/>
          <w:bCs/>
          <w:sz w:val="21"/>
          <w:szCs w:val="21"/>
        </w:rPr>
      </w:pPr>
      <w:r>
        <w:rPr>
          <w:rFonts w:hint="eastAsia" w:ascii="宋体" w:hAnsi="宋体"/>
          <w:b/>
          <w:bCs/>
          <w:sz w:val="21"/>
          <w:szCs w:val="21"/>
        </w:rPr>
        <w:t>4.3基于高效的数据交换技术，集成业务应用数据</w:t>
      </w:r>
    </w:p>
    <w:p>
      <w:pPr>
        <w:spacing w:line="288" w:lineRule="auto"/>
        <w:ind w:firstLine="420" w:firstLineChars="200"/>
        <w:rPr>
          <w:rFonts w:ascii="宋体" w:hAnsi="宋体"/>
          <w:sz w:val="21"/>
          <w:szCs w:val="21"/>
        </w:rPr>
      </w:pPr>
      <w:r>
        <w:rPr>
          <w:rFonts w:hint="eastAsia" w:ascii="宋体" w:hAnsi="宋体"/>
          <w:sz w:val="21"/>
          <w:szCs w:val="21"/>
        </w:rPr>
        <w:t>要求基于目前业界主流的高效数据清洗交换技术，实现异构多源数据的集成，实现从关系型数据库、文件型数据、对象型数据或遗留的应用系统中清洗交换数据。要求支持数据双向交换。</w:t>
      </w:r>
    </w:p>
    <w:p>
      <w:pPr>
        <w:spacing w:line="288" w:lineRule="auto"/>
        <w:ind w:firstLine="422" w:firstLineChars="200"/>
        <w:rPr>
          <w:rFonts w:ascii="宋体" w:hAnsi="宋体"/>
          <w:b/>
          <w:bCs/>
          <w:sz w:val="21"/>
          <w:szCs w:val="21"/>
        </w:rPr>
      </w:pPr>
      <w:r>
        <w:rPr>
          <w:rFonts w:hint="eastAsia" w:ascii="宋体" w:hAnsi="宋体"/>
          <w:b/>
          <w:bCs/>
          <w:sz w:val="21"/>
          <w:szCs w:val="21"/>
        </w:rPr>
        <w:t>4.4系统集成</w:t>
      </w:r>
    </w:p>
    <w:p>
      <w:pPr>
        <w:spacing w:line="288" w:lineRule="auto"/>
        <w:ind w:firstLine="420" w:firstLineChars="200"/>
        <w:rPr>
          <w:rFonts w:ascii="宋体" w:hAnsi="宋体"/>
          <w:sz w:val="21"/>
          <w:szCs w:val="21"/>
        </w:rPr>
      </w:pPr>
      <w:r>
        <w:rPr>
          <w:rFonts w:hint="eastAsia" w:ascii="宋体" w:hAnsi="宋体"/>
          <w:sz w:val="21"/>
          <w:szCs w:val="21"/>
        </w:rPr>
        <w:t>本项目建设需要对学校现有业务管理信息系统进行系统数据集成，具体集成要求以学校实际业务需求为准。</w:t>
      </w:r>
    </w:p>
    <w:p>
      <w:pPr>
        <w:spacing w:line="288" w:lineRule="auto"/>
        <w:rPr>
          <w:rFonts w:ascii="宋体" w:hAnsi="宋体"/>
          <w:b/>
          <w:bCs/>
          <w:sz w:val="21"/>
          <w:szCs w:val="21"/>
        </w:rPr>
      </w:pPr>
      <w:r>
        <w:rPr>
          <w:rFonts w:hint="eastAsia" w:ascii="宋体" w:hAnsi="宋体"/>
          <w:b/>
          <w:bCs/>
          <w:sz w:val="21"/>
          <w:szCs w:val="21"/>
        </w:rPr>
        <w:t>（二）系统建设内容</w:t>
      </w:r>
    </w:p>
    <w:p>
      <w:pPr>
        <w:spacing w:line="288" w:lineRule="auto"/>
        <w:ind w:firstLine="420" w:firstLineChars="200"/>
        <w:rPr>
          <w:rFonts w:ascii="宋体" w:hAnsi="宋体"/>
          <w:sz w:val="21"/>
          <w:szCs w:val="21"/>
        </w:rPr>
      </w:pPr>
      <w:r>
        <w:rPr>
          <w:rFonts w:hint="eastAsia" w:ascii="宋体" w:hAnsi="宋体"/>
          <w:sz w:val="21"/>
          <w:szCs w:val="21"/>
        </w:rPr>
        <w:t>综合数据应用平台以基于报表软件平台进行二次开发，包含数据质量监测、师生“一表通”系统、数据填报服务、综合数据分析分析、办学水平监测、高基报表、高等教育质量监测数据采集等功能。</w:t>
      </w:r>
    </w:p>
    <w:p>
      <w:pPr>
        <w:spacing w:line="288" w:lineRule="auto"/>
        <w:ind w:firstLine="420" w:firstLineChars="200"/>
        <w:rPr>
          <w:rFonts w:ascii="宋体" w:hAnsi="宋体"/>
          <w:sz w:val="21"/>
          <w:szCs w:val="21"/>
        </w:rPr>
      </w:pPr>
      <w:r>
        <w:rPr>
          <w:rFonts w:hint="eastAsia" w:ascii="宋体" w:hAnsi="宋体"/>
          <w:sz w:val="21"/>
          <w:szCs w:val="21"/>
        </w:rPr>
        <w:t>数据质量监测，包括学生基本信息、教职工基础数据等，对教务系统、学工系统、人事系统中维护的源头数据是否准确，符合规范进行监测，形成统计报表，对部门、专业、班级、学生、教职工等基础数据在各业务系统的数据进行监测，保证各系统间的数据统一，预防各业务系统擅自维护基础数据。</w:t>
      </w:r>
    </w:p>
    <w:p>
      <w:pPr>
        <w:spacing w:line="288" w:lineRule="auto"/>
        <w:ind w:firstLine="420" w:firstLineChars="200"/>
        <w:rPr>
          <w:rFonts w:ascii="宋体" w:hAnsi="宋体"/>
          <w:sz w:val="21"/>
          <w:szCs w:val="21"/>
        </w:rPr>
      </w:pPr>
      <w:r>
        <w:rPr>
          <w:rFonts w:hint="eastAsia" w:ascii="宋体" w:hAnsi="宋体"/>
          <w:sz w:val="21"/>
          <w:szCs w:val="21"/>
        </w:rPr>
        <w:t>师生“一表通”形成教师与学生在校期间的全生命周期的数据整合，对师生在各应用系统中的数据进行整合展现，包括人事、科研、教务、学工、场馆、一卡通、图书馆等系统，最终形成教师发展档案与学生成长档案，并对师生数据的综合分析,对师资情况、科研情况、教学情况、学生生源、在校人数、学生成绩、奖惩信息、体质锻炼、一卡通消费、阅读情况等全方位分析。</w:t>
      </w:r>
    </w:p>
    <w:p>
      <w:pPr>
        <w:spacing w:line="288" w:lineRule="auto"/>
        <w:ind w:firstLine="420" w:firstLineChars="200"/>
        <w:rPr>
          <w:rFonts w:ascii="宋体" w:hAnsi="宋体"/>
          <w:sz w:val="21"/>
          <w:szCs w:val="21"/>
        </w:rPr>
      </w:pPr>
      <w:r>
        <w:rPr>
          <w:rFonts w:hint="eastAsia" w:ascii="宋体" w:hAnsi="宋体"/>
          <w:sz w:val="21"/>
          <w:szCs w:val="21"/>
        </w:rPr>
        <w:t>数据填报实现学校高基报表填报和状态数据采集等服务，提供各类师生数据填报服务。</w:t>
      </w:r>
    </w:p>
    <w:p>
      <w:pPr>
        <w:spacing w:line="288" w:lineRule="auto"/>
        <w:ind w:firstLine="420" w:firstLineChars="200"/>
        <w:rPr>
          <w:rFonts w:ascii="宋体" w:hAnsi="宋体"/>
          <w:sz w:val="21"/>
          <w:szCs w:val="21"/>
        </w:rPr>
      </w:pPr>
      <w:r>
        <w:rPr>
          <w:rFonts w:hint="eastAsia" w:ascii="宋体" w:hAnsi="宋体"/>
          <w:sz w:val="21"/>
          <w:szCs w:val="21"/>
        </w:rPr>
        <w:t>校情分析实现教职工、学生、教学、科研、财务、资产、图书馆等各类数据分析与挖掘。</w:t>
      </w:r>
    </w:p>
    <w:p>
      <w:pPr>
        <w:spacing w:line="288" w:lineRule="auto"/>
        <w:ind w:firstLine="420" w:firstLineChars="200"/>
        <w:rPr>
          <w:rFonts w:ascii="宋体" w:hAnsi="宋体"/>
          <w:sz w:val="21"/>
          <w:szCs w:val="21"/>
        </w:rPr>
      </w:pPr>
      <w:r>
        <w:rPr>
          <w:rFonts w:hint="eastAsia" w:ascii="宋体" w:hAnsi="宋体"/>
          <w:sz w:val="21"/>
          <w:szCs w:val="21"/>
        </w:rPr>
        <w:t>软件功能需求：</w:t>
      </w:r>
    </w:p>
    <w:tbl>
      <w:tblPr>
        <w:tblStyle w:val="2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12"/>
        <w:gridCol w:w="838"/>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pacing w:line="288" w:lineRule="auto"/>
              <w:jc w:val="center"/>
              <w:rPr>
                <w:rFonts w:ascii="宋体" w:hAnsi="宋体"/>
                <w:sz w:val="21"/>
                <w:szCs w:val="21"/>
              </w:rPr>
            </w:pPr>
            <w:r>
              <w:rPr>
                <w:rFonts w:hint="eastAsia" w:ascii="宋体" w:hAnsi="宋体"/>
                <w:sz w:val="21"/>
                <w:szCs w:val="21"/>
              </w:rPr>
              <w:t>序号</w:t>
            </w:r>
          </w:p>
        </w:tc>
        <w:tc>
          <w:tcPr>
            <w:tcW w:w="1512" w:type="dxa"/>
            <w:vAlign w:val="center"/>
          </w:tcPr>
          <w:p>
            <w:pPr>
              <w:spacing w:line="288" w:lineRule="auto"/>
              <w:jc w:val="center"/>
              <w:rPr>
                <w:rFonts w:ascii="宋体" w:hAnsi="宋体"/>
                <w:sz w:val="21"/>
                <w:szCs w:val="21"/>
              </w:rPr>
            </w:pPr>
            <w:r>
              <w:rPr>
                <w:rFonts w:hint="eastAsia" w:ascii="宋体" w:hAnsi="宋体"/>
                <w:sz w:val="21"/>
                <w:szCs w:val="21"/>
              </w:rPr>
              <w:t>名称</w:t>
            </w:r>
          </w:p>
        </w:tc>
        <w:tc>
          <w:tcPr>
            <w:tcW w:w="838" w:type="dxa"/>
            <w:vAlign w:val="center"/>
          </w:tcPr>
          <w:p>
            <w:pPr>
              <w:spacing w:line="288" w:lineRule="auto"/>
              <w:jc w:val="center"/>
              <w:rPr>
                <w:rFonts w:ascii="宋体" w:hAnsi="宋体"/>
                <w:sz w:val="21"/>
                <w:szCs w:val="21"/>
              </w:rPr>
            </w:pPr>
            <w:r>
              <w:rPr>
                <w:rFonts w:hint="eastAsia" w:ascii="宋体" w:hAnsi="宋体"/>
                <w:sz w:val="21"/>
                <w:szCs w:val="21"/>
              </w:rPr>
              <w:t>数量</w:t>
            </w:r>
          </w:p>
        </w:tc>
        <w:tc>
          <w:tcPr>
            <w:tcW w:w="6505" w:type="dxa"/>
            <w:vAlign w:val="center"/>
          </w:tcPr>
          <w:p>
            <w:pPr>
              <w:spacing w:line="288" w:lineRule="auto"/>
              <w:jc w:val="center"/>
              <w:rPr>
                <w:rFonts w:ascii="宋体" w:hAnsi="宋体"/>
                <w:sz w:val="21"/>
                <w:szCs w:val="21"/>
              </w:rPr>
            </w:pPr>
            <w:r>
              <w:rPr>
                <w:rFonts w:hint="eastAsia" w:ascii="宋体" w:hAnsi="宋体"/>
                <w:sz w:val="21"/>
                <w:szCs w:val="21"/>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pacing w:line="288" w:lineRule="auto"/>
              <w:jc w:val="center"/>
              <w:rPr>
                <w:rFonts w:ascii="宋体" w:hAnsi="宋体"/>
                <w:sz w:val="21"/>
                <w:szCs w:val="21"/>
              </w:rPr>
            </w:pPr>
            <w:r>
              <w:rPr>
                <w:rFonts w:hint="eastAsia" w:ascii="宋体" w:hAnsi="宋体"/>
                <w:sz w:val="21"/>
                <w:szCs w:val="21"/>
              </w:rPr>
              <w:t>1</w:t>
            </w:r>
          </w:p>
        </w:tc>
        <w:tc>
          <w:tcPr>
            <w:tcW w:w="1512" w:type="dxa"/>
            <w:vAlign w:val="center"/>
          </w:tcPr>
          <w:p>
            <w:pPr>
              <w:spacing w:line="288" w:lineRule="auto"/>
              <w:jc w:val="center"/>
              <w:rPr>
                <w:rFonts w:ascii="宋体" w:hAnsi="宋体"/>
                <w:sz w:val="21"/>
                <w:szCs w:val="21"/>
              </w:rPr>
            </w:pPr>
            <w:r>
              <w:rPr>
                <w:rFonts w:hint="eastAsia" w:ascii="宋体" w:hAnsi="宋体"/>
                <w:sz w:val="21"/>
                <w:szCs w:val="21"/>
              </w:rPr>
              <w:t>报表软件平台</w:t>
            </w:r>
          </w:p>
        </w:tc>
        <w:tc>
          <w:tcPr>
            <w:tcW w:w="838" w:type="dxa"/>
            <w:vAlign w:val="center"/>
          </w:tcPr>
          <w:p>
            <w:pPr>
              <w:spacing w:line="288" w:lineRule="auto"/>
              <w:jc w:val="center"/>
              <w:rPr>
                <w:rFonts w:ascii="宋体" w:hAnsi="宋体"/>
                <w:sz w:val="21"/>
                <w:szCs w:val="21"/>
              </w:rPr>
            </w:pPr>
            <w:r>
              <w:rPr>
                <w:rFonts w:hint="eastAsia" w:ascii="宋体" w:hAnsi="宋体"/>
                <w:sz w:val="21"/>
                <w:szCs w:val="21"/>
              </w:rPr>
              <w:t>1套</w:t>
            </w:r>
          </w:p>
        </w:tc>
        <w:tc>
          <w:tcPr>
            <w:tcW w:w="6505" w:type="dxa"/>
            <w:vAlign w:val="center"/>
          </w:tcPr>
          <w:p>
            <w:pPr>
              <w:spacing w:line="288" w:lineRule="auto"/>
              <w:rPr>
                <w:rFonts w:ascii="宋体" w:hAnsi="宋体"/>
                <w:b/>
                <w:bCs/>
                <w:sz w:val="21"/>
                <w:szCs w:val="21"/>
              </w:rPr>
            </w:pPr>
            <w:r>
              <w:rPr>
                <w:rFonts w:hint="eastAsia" w:ascii="宋体" w:hAnsi="宋体"/>
                <w:b/>
                <w:bCs/>
                <w:sz w:val="21"/>
                <w:szCs w:val="21"/>
              </w:rPr>
              <w:t>一、产品环境支撑模块</w:t>
            </w:r>
          </w:p>
          <w:p>
            <w:pPr>
              <w:spacing w:line="288" w:lineRule="auto"/>
              <w:ind w:firstLine="420" w:firstLineChars="200"/>
              <w:rPr>
                <w:rFonts w:ascii="宋体" w:hAnsi="宋体"/>
                <w:sz w:val="21"/>
                <w:szCs w:val="21"/>
              </w:rPr>
            </w:pPr>
            <w:r>
              <w:rPr>
                <w:rFonts w:hint="eastAsia" w:ascii="宋体" w:hAnsi="宋体"/>
                <w:sz w:val="21"/>
                <w:szCs w:val="21"/>
              </w:rPr>
              <w:t>1.报表软件采用纯JAVA开发，报表工程支持所有可部署JDK的操作系统、有JDBC接口的数据库。</w:t>
            </w:r>
          </w:p>
          <w:p>
            <w:pPr>
              <w:spacing w:line="288" w:lineRule="auto"/>
              <w:ind w:firstLine="420" w:firstLineChars="200"/>
              <w:rPr>
                <w:rFonts w:ascii="宋体" w:hAnsi="宋体"/>
                <w:sz w:val="21"/>
                <w:szCs w:val="21"/>
              </w:rPr>
            </w:pPr>
            <w:r>
              <w:rPr>
                <w:rFonts w:hint="eastAsia" w:ascii="宋体" w:hAnsi="宋体"/>
                <w:sz w:val="21"/>
                <w:szCs w:val="21"/>
              </w:rPr>
              <w:t>2.支持Windows、Linux、Solaris 、Aix、Unix、IRIX等各种常见的操作系统。</w:t>
            </w:r>
          </w:p>
          <w:p>
            <w:pPr>
              <w:spacing w:line="288" w:lineRule="auto"/>
              <w:ind w:firstLine="420" w:firstLineChars="200"/>
              <w:rPr>
                <w:rFonts w:ascii="宋体" w:hAnsi="宋体"/>
                <w:sz w:val="21"/>
                <w:szCs w:val="21"/>
              </w:rPr>
            </w:pPr>
            <w:r>
              <w:rPr>
                <w:rFonts w:hint="eastAsia" w:ascii="宋体" w:hAnsi="宋体"/>
                <w:sz w:val="21"/>
                <w:szCs w:val="21"/>
              </w:rPr>
              <w:t>3.支持Oracle、SqlSever、Mysql、Access、Sybase、DB2、Postgre、Derby等主流的关系型数据库。</w:t>
            </w:r>
          </w:p>
          <w:p>
            <w:pPr>
              <w:spacing w:line="288" w:lineRule="auto"/>
              <w:ind w:firstLine="420" w:firstLineChars="200"/>
              <w:rPr>
                <w:rFonts w:ascii="宋体" w:hAnsi="宋体"/>
                <w:sz w:val="21"/>
                <w:szCs w:val="21"/>
              </w:rPr>
            </w:pPr>
            <w:r>
              <w:rPr>
                <w:rFonts w:hint="eastAsia" w:ascii="宋体" w:hAnsi="宋体"/>
                <w:sz w:val="21"/>
                <w:szCs w:val="21"/>
              </w:rPr>
              <w:t>4.支持SAP连接数据库功能，不仅可以直接从SAP系统中取数，而且还可以将数据定时同步至其他数据库中。</w:t>
            </w:r>
          </w:p>
          <w:p>
            <w:pPr>
              <w:spacing w:line="288" w:lineRule="auto"/>
              <w:ind w:firstLine="420" w:firstLineChars="200"/>
              <w:rPr>
                <w:rFonts w:ascii="宋体" w:hAnsi="宋体"/>
                <w:sz w:val="21"/>
                <w:szCs w:val="21"/>
              </w:rPr>
            </w:pPr>
            <w:r>
              <w:rPr>
                <w:rFonts w:hint="eastAsia" w:ascii="宋体" w:hAnsi="宋体"/>
                <w:sz w:val="21"/>
                <w:szCs w:val="21"/>
              </w:rPr>
              <w:t>5.支持Tomcat、Jboss、Weblogic、WeB/Sphere、Tongweb、resin等web应用服务器。</w:t>
            </w:r>
          </w:p>
          <w:p>
            <w:pPr>
              <w:spacing w:line="288" w:lineRule="auto"/>
              <w:ind w:firstLine="420" w:firstLineChars="200"/>
              <w:rPr>
                <w:rFonts w:ascii="宋体" w:hAnsi="宋体"/>
                <w:sz w:val="21"/>
                <w:szCs w:val="21"/>
              </w:rPr>
            </w:pPr>
            <w:r>
              <w:rPr>
                <w:rFonts w:hint="eastAsia" w:ascii="宋体" w:hAnsi="宋体"/>
                <w:sz w:val="21"/>
                <w:szCs w:val="21"/>
              </w:rPr>
              <w:t>6.报表采用标准纯html方式展现，支持IE、chrome、firefox等多种浏览器。</w:t>
            </w:r>
          </w:p>
          <w:p>
            <w:pPr>
              <w:spacing w:line="288" w:lineRule="auto"/>
              <w:rPr>
                <w:rFonts w:ascii="宋体" w:hAnsi="宋体"/>
                <w:b/>
                <w:bCs/>
                <w:sz w:val="21"/>
                <w:szCs w:val="21"/>
              </w:rPr>
            </w:pPr>
            <w:r>
              <w:rPr>
                <w:rFonts w:hint="eastAsia" w:ascii="宋体" w:hAnsi="宋体"/>
                <w:b/>
                <w:bCs/>
                <w:sz w:val="21"/>
                <w:szCs w:val="21"/>
              </w:rPr>
              <w:t>二、报表设计模块</w:t>
            </w:r>
          </w:p>
          <w:p>
            <w:pPr>
              <w:spacing w:line="288" w:lineRule="auto"/>
              <w:ind w:firstLine="420" w:firstLineChars="200"/>
              <w:rPr>
                <w:rFonts w:ascii="宋体" w:hAnsi="宋体"/>
                <w:sz w:val="21"/>
                <w:szCs w:val="21"/>
              </w:rPr>
            </w:pPr>
            <w:r>
              <w:rPr>
                <w:rFonts w:hint="eastAsia" w:ascii="宋体" w:hAnsi="宋体"/>
                <w:sz w:val="21"/>
                <w:szCs w:val="21"/>
              </w:rPr>
              <w:t>1.采用类excel的报表设计方式，自然支持无限扩展的行列，多sheet报表，完全兼容Excel公式，当添加删除行列时，引用单元格的公式计算也可以自动变化。</w:t>
            </w:r>
          </w:p>
          <w:p>
            <w:pPr>
              <w:spacing w:line="288" w:lineRule="auto"/>
              <w:ind w:firstLine="420" w:firstLineChars="200"/>
              <w:rPr>
                <w:rFonts w:ascii="宋体" w:hAnsi="宋体"/>
                <w:sz w:val="21"/>
                <w:szCs w:val="21"/>
              </w:rPr>
            </w:pPr>
            <w:r>
              <w:rPr>
                <w:rFonts w:hint="eastAsia" w:ascii="宋体" w:hAnsi="宋体"/>
                <w:sz w:val="21"/>
                <w:szCs w:val="21"/>
              </w:rPr>
              <w:t>2.支持无失真的导入导出excel，不会发生公式兼容问题和多sheet兼容问题。</w:t>
            </w:r>
          </w:p>
          <w:p>
            <w:pPr>
              <w:spacing w:line="288" w:lineRule="auto"/>
              <w:ind w:firstLine="420" w:firstLineChars="200"/>
              <w:rPr>
                <w:rFonts w:ascii="宋体" w:hAnsi="宋体"/>
                <w:sz w:val="21"/>
                <w:szCs w:val="21"/>
              </w:rPr>
            </w:pPr>
            <w:r>
              <w:rPr>
                <w:rFonts w:hint="eastAsia" w:ascii="宋体" w:hAnsi="宋体"/>
                <w:sz w:val="21"/>
                <w:szCs w:val="21"/>
              </w:rPr>
              <w:t>3.支持打开多Sheet的excel文件直接设计报表，可直接导入Excel公式。</w:t>
            </w:r>
          </w:p>
          <w:p>
            <w:pPr>
              <w:spacing w:line="288" w:lineRule="auto"/>
              <w:ind w:firstLine="420" w:firstLineChars="200"/>
              <w:rPr>
                <w:rFonts w:ascii="宋体" w:hAnsi="宋体"/>
                <w:sz w:val="21"/>
                <w:szCs w:val="21"/>
              </w:rPr>
            </w:pPr>
            <w:r>
              <w:rPr>
                <w:rFonts w:hint="eastAsia" w:ascii="宋体" w:hAnsi="宋体"/>
                <w:sz w:val="21"/>
                <w:szCs w:val="21"/>
              </w:rPr>
              <w:t>4.支持多报表运行环境，能在多个报表应用环境中直接切换。</w:t>
            </w:r>
          </w:p>
          <w:p>
            <w:pPr>
              <w:spacing w:line="288" w:lineRule="auto"/>
              <w:ind w:firstLine="420" w:firstLineChars="200"/>
              <w:rPr>
                <w:rFonts w:ascii="宋体" w:hAnsi="宋体"/>
                <w:sz w:val="21"/>
                <w:szCs w:val="21"/>
              </w:rPr>
            </w:pPr>
            <w:r>
              <w:rPr>
                <w:rFonts w:hint="eastAsia" w:ascii="宋体" w:hAnsi="宋体"/>
                <w:sz w:val="21"/>
                <w:szCs w:val="21"/>
              </w:rPr>
              <w:t>5.支持通过远程报表开发环境，实现多人协同做报表，并支持报表锁定与解锁。</w:t>
            </w:r>
          </w:p>
          <w:p>
            <w:pPr>
              <w:spacing w:line="288" w:lineRule="auto"/>
              <w:ind w:firstLine="420" w:firstLineChars="200"/>
              <w:rPr>
                <w:rFonts w:ascii="宋体" w:hAnsi="宋体"/>
                <w:sz w:val="21"/>
                <w:szCs w:val="21"/>
              </w:rPr>
            </w:pPr>
            <w:r>
              <w:rPr>
                <w:rFonts w:hint="eastAsia" w:ascii="宋体" w:hAnsi="宋体"/>
                <w:sz w:val="21"/>
                <w:szCs w:val="21"/>
              </w:rPr>
              <w:t>6.支持使用悬浮元素设计报表，支持悬浮模式显示文本类型、公式类型、图片类型、图表类型。</w:t>
            </w:r>
          </w:p>
          <w:p>
            <w:pPr>
              <w:spacing w:line="288" w:lineRule="auto"/>
              <w:ind w:firstLine="420" w:firstLineChars="200"/>
              <w:rPr>
                <w:rFonts w:ascii="宋体" w:hAnsi="宋体"/>
                <w:sz w:val="21"/>
                <w:szCs w:val="21"/>
              </w:rPr>
            </w:pPr>
            <w:r>
              <w:rPr>
                <w:rFonts w:hint="eastAsia" w:ascii="宋体" w:hAnsi="宋体"/>
                <w:sz w:val="21"/>
                <w:szCs w:val="21"/>
              </w:rPr>
              <w:t>7.支持聚合报表设计模式，各聚合块如表格、图表模块之间相互独立。</w:t>
            </w:r>
          </w:p>
          <w:p>
            <w:pPr>
              <w:spacing w:line="288" w:lineRule="auto"/>
              <w:ind w:firstLine="420" w:firstLineChars="200"/>
              <w:rPr>
                <w:rFonts w:ascii="宋体" w:hAnsi="宋体"/>
                <w:sz w:val="21"/>
                <w:szCs w:val="21"/>
              </w:rPr>
            </w:pPr>
            <w:r>
              <w:rPr>
                <w:rFonts w:hint="eastAsia" w:ascii="宋体" w:hAnsi="宋体"/>
                <w:sz w:val="21"/>
                <w:szCs w:val="21"/>
              </w:rPr>
              <w:t>8.支持拖拽操作，并可以不需要手写任何公式，只用鼠标拖拽即可实现数据的分组统计等设计。</w:t>
            </w:r>
          </w:p>
          <w:p>
            <w:pPr>
              <w:spacing w:line="288" w:lineRule="auto"/>
              <w:ind w:firstLine="420" w:firstLineChars="200"/>
              <w:rPr>
                <w:rFonts w:ascii="宋体" w:hAnsi="宋体"/>
                <w:sz w:val="21"/>
                <w:szCs w:val="21"/>
              </w:rPr>
            </w:pPr>
            <w:r>
              <w:rPr>
                <w:rFonts w:hint="eastAsia" w:ascii="宋体" w:hAnsi="宋体"/>
                <w:sz w:val="21"/>
                <w:szCs w:val="21"/>
              </w:rPr>
              <w:t>9.支持零编码实现工具栏，设计好的报表可以直接在浏览器中打开，无须任何编码即可利用内置的工具栏进行各种翻页，打印，输出等操作。</w:t>
            </w:r>
          </w:p>
          <w:p>
            <w:pPr>
              <w:spacing w:line="288" w:lineRule="auto"/>
              <w:rPr>
                <w:rFonts w:ascii="宋体" w:hAnsi="宋体"/>
                <w:b/>
                <w:bCs/>
                <w:sz w:val="21"/>
                <w:szCs w:val="21"/>
              </w:rPr>
            </w:pPr>
            <w:r>
              <w:rPr>
                <w:rFonts w:hint="eastAsia" w:ascii="宋体" w:hAnsi="宋体"/>
                <w:b/>
                <w:bCs/>
                <w:sz w:val="21"/>
                <w:szCs w:val="21"/>
              </w:rPr>
              <w:t>三、报表展现模块</w:t>
            </w:r>
          </w:p>
          <w:p>
            <w:pPr>
              <w:spacing w:line="288" w:lineRule="auto"/>
              <w:ind w:firstLine="420" w:firstLineChars="200"/>
              <w:rPr>
                <w:rFonts w:ascii="宋体" w:hAnsi="宋体"/>
                <w:sz w:val="21"/>
                <w:szCs w:val="21"/>
              </w:rPr>
            </w:pPr>
            <w:r>
              <w:rPr>
                <w:rFonts w:hint="eastAsia" w:ascii="宋体" w:hAnsi="宋体"/>
                <w:sz w:val="21"/>
                <w:szCs w:val="21"/>
              </w:rPr>
              <w:t>1.支持数据可以来自于多个不同的数据源，多个不同物理数据库，或不同类型的数据源。</w:t>
            </w:r>
          </w:p>
          <w:p>
            <w:pPr>
              <w:spacing w:line="288" w:lineRule="auto"/>
              <w:ind w:firstLine="420" w:firstLineChars="200"/>
              <w:rPr>
                <w:rFonts w:ascii="宋体" w:hAnsi="宋体"/>
                <w:sz w:val="21"/>
                <w:szCs w:val="21"/>
              </w:rPr>
            </w:pPr>
            <w:r>
              <w:rPr>
                <w:rFonts w:hint="eastAsia" w:ascii="宋体" w:hAnsi="宋体"/>
                <w:sz w:val="21"/>
                <w:szCs w:val="21"/>
              </w:rPr>
              <w:t>2.支持来自不同数据源的数据通过关联数据集实现，包括合并和依条件选择两种类型。</w:t>
            </w:r>
          </w:p>
          <w:p>
            <w:pPr>
              <w:spacing w:line="288" w:lineRule="auto"/>
              <w:ind w:firstLine="420" w:firstLineChars="200"/>
              <w:rPr>
                <w:rFonts w:ascii="宋体" w:hAnsi="宋体"/>
                <w:sz w:val="21"/>
                <w:szCs w:val="21"/>
              </w:rPr>
            </w:pPr>
            <w:r>
              <w:rPr>
                <w:rFonts w:hint="eastAsia" w:ascii="宋体" w:hAnsi="宋体"/>
                <w:sz w:val="21"/>
                <w:szCs w:val="21"/>
              </w:rPr>
              <w:t>3.支持内置数据集、可定义组成结构层级关系的树数据集、存储过程数据集、文件数据集和最基本的SQL数据集。</w:t>
            </w:r>
          </w:p>
          <w:p>
            <w:pPr>
              <w:spacing w:line="288" w:lineRule="auto"/>
              <w:ind w:firstLine="420" w:firstLineChars="200"/>
              <w:rPr>
                <w:rFonts w:ascii="宋体" w:hAnsi="宋体"/>
                <w:sz w:val="21"/>
                <w:szCs w:val="21"/>
              </w:rPr>
            </w:pPr>
            <w:r>
              <w:rPr>
                <w:rFonts w:hint="eastAsia" w:ascii="宋体" w:hAnsi="宋体"/>
                <w:sz w:val="21"/>
                <w:szCs w:val="21"/>
              </w:rPr>
              <w:t>4.支持动态数据扩展，动态返回数据记录，支持全界面数据扩展方式的无输入操作，进行分组、列表、汇总的数据拓展展示，同时也支持书写表达式。</w:t>
            </w:r>
          </w:p>
          <w:p>
            <w:pPr>
              <w:spacing w:line="288" w:lineRule="auto"/>
              <w:ind w:firstLine="420" w:firstLineChars="200"/>
              <w:rPr>
                <w:rFonts w:ascii="宋体" w:hAnsi="宋体"/>
                <w:sz w:val="21"/>
                <w:szCs w:val="21"/>
              </w:rPr>
            </w:pPr>
            <w:r>
              <w:rPr>
                <w:rFonts w:hint="eastAsia" w:ascii="宋体" w:hAnsi="宋体"/>
                <w:sz w:val="21"/>
                <w:szCs w:val="21"/>
              </w:rPr>
              <w:t>5.支持行列对称。数据的扩展，并非像传统的分组报表只能纵向的扩展，而是天然支持行列对称，不需要写一行代码，设计横向报表。</w:t>
            </w:r>
          </w:p>
          <w:p>
            <w:pPr>
              <w:spacing w:line="288" w:lineRule="auto"/>
              <w:ind w:firstLine="420" w:firstLineChars="200"/>
              <w:rPr>
                <w:rFonts w:ascii="宋体" w:hAnsi="宋体"/>
                <w:sz w:val="21"/>
                <w:szCs w:val="21"/>
              </w:rPr>
            </w:pPr>
            <w:r>
              <w:rPr>
                <w:rFonts w:hint="eastAsia" w:ascii="宋体" w:hAnsi="宋体"/>
                <w:sz w:val="21"/>
                <w:szCs w:val="21"/>
              </w:rPr>
              <w:t>6.支持报表的背景不再是单一的浏览器背景，可以改变颜色，纹理，图片，团，渐变色等多样化背景显示。</w:t>
            </w:r>
          </w:p>
          <w:p>
            <w:pPr>
              <w:spacing w:line="288" w:lineRule="auto"/>
              <w:ind w:firstLine="420" w:firstLineChars="200"/>
              <w:rPr>
                <w:rFonts w:ascii="宋体" w:hAnsi="宋体"/>
                <w:sz w:val="21"/>
                <w:szCs w:val="21"/>
              </w:rPr>
            </w:pPr>
            <w:r>
              <w:rPr>
                <w:rFonts w:hint="eastAsia" w:ascii="宋体" w:hAnsi="宋体"/>
                <w:sz w:val="21"/>
                <w:szCs w:val="21"/>
              </w:rPr>
              <w:t>7.支持报表的行分栏和列分栏。</w:t>
            </w:r>
          </w:p>
          <w:p>
            <w:pPr>
              <w:spacing w:line="288" w:lineRule="auto"/>
              <w:ind w:firstLine="420" w:firstLineChars="200"/>
              <w:rPr>
                <w:rFonts w:ascii="宋体" w:hAnsi="宋体"/>
                <w:sz w:val="21"/>
                <w:szCs w:val="21"/>
              </w:rPr>
            </w:pPr>
            <w:r>
              <w:rPr>
                <w:rFonts w:hint="eastAsia" w:ascii="宋体" w:hAnsi="宋体"/>
                <w:sz w:val="21"/>
                <w:szCs w:val="21"/>
              </w:rPr>
              <w:t>8.支持报表页眉页脚的设置，且支持页眉页脚使用图片。</w:t>
            </w:r>
          </w:p>
          <w:p>
            <w:pPr>
              <w:spacing w:line="288" w:lineRule="auto"/>
              <w:ind w:firstLine="420" w:firstLineChars="200"/>
              <w:rPr>
                <w:rFonts w:ascii="宋体" w:hAnsi="宋体"/>
                <w:sz w:val="21"/>
                <w:szCs w:val="21"/>
              </w:rPr>
            </w:pPr>
            <w:r>
              <w:rPr>
                <w:rFonts w:hint="eastAsia" w:ascii="宋体" w:hAnsi="宋体"/>
                <w:sz w:val="21"/>
                <w:szCs w:val="21"/>
              </w:rPr>
              <w:t>9.当报表进行分页预览时，支持重复标题行或重复标题列；当数据量比较大，如果不分页时，则支持报表分页冻结和填报冻结。</w:t>
            </w:r>
          </w:p>
          <w:p>
            <w:pPr>
              <w:spacing w:line="288" w:lineRule="auto"/>
              <w:ind w:firstLine="420" w:firstLineChars="200"/>
              <w:rPr>
                <w:rFonts w:ascii="宋体" w:hAnsi="宋体"/>
                <w:sz w:val="21"/>
                <w:szCs w:val="21"/>
              </w:rPr>
            </w:pPr>
            <w:r>
              <w:rPr>
                <w:rFonts w:hint="eastAsia" w:ascii="宋体" w:hAnsi="宋体"/>
                <w:sz w:val="21"/>
                <w:szCs w:val="21"/>
              </w:rPr>
              <w:t>10.支持当数据量非常大的时候可使用行式引擎提升速度。</w:t>
            </w:r>
          </w:p>
          <w:p>
            <w:pPr>
              <w:spacing w:line="288" w:lineRule="auto"/>
              <w:ind w:firstLine="420" w:firstLineChars="200"/>
              <w:rPr>
                <w:rFonts w:ascii="宋体" w:hAnsi="宋体"/>
                <w:sz w:val="21"/>
                <w:szCs w:val="21"/>
              </w:rPr>
            </w:pPr>
            <w:r>
              <w:rPr>
                <w:rFonts w:hint="eastAsia" w:ascii="宋体" w:hAnsi="宋体"/>
                <w:sz w:val="21"/>
                <w:szCs w:val="21"/>
              </w:rPr>
              <w:t>11.支持对单元格的形态进行设置，其中有数据字典，公式形态，条形码，金额线等形态。</w:t>
            </w:r>
          </w:p>
          <w:p>
            <w:pPr>
              <w:spacing w:line="288" w:lineRule="auto"/>
              <w:ind w:firstLine="420" w:firstLineChars="200"/>
              <w:rPr>
                <w:rFonts w:ascii="宋体" w:hAnsi="宋体"/>
                <w:sz w:val="21"/>
                <w:szCs w:val="21"/>
              </w:rPr>
            </w:pPr>
            <w:r>
              <w:rPr>
                <w:rFonts w:hint="eastAsia" w:ascii="宋体" w:hAnsi="宋体"/>
                <w:sz w:val="21"/>
                <w:szCs w:val="21"/>
              </w:rPr>
              <w:t>12.支持在条件属性中根据满足条件高亮显示，可改变的属性有行高，列宽，空间是否可用，超级链接，形态，边框，前景，背景，字体，新值，分页，缩进等。</w:t>
            </w:r>
          </w:p>
          <w:p>
            <w:pPr>
              <w:spacing w:line="288" w:lineRule="auto"/>
              <w:ind w:firstLine="420" w:firstLineChars="200"/>
              <w:rPr>
                <w:rFonts w:ascii="宋体" w:hAnsi="宋体"/>
                <w:sz w:val="21"/>
                <w:szCs w:val="21"/>
              </w:rPr>
            </w:pPr>
            <w:r>
              <w:rPr>
                <w:rFonts w:hint="eastAsia" w:ascii="宋体" w:hAnsi="宋体"/>
                <w:sz w:val="21"/>
                <w:szCs w:val="21"/>
              </w:rPr>
              <w:t>13.支持根据单元格内容确定是否自动调整列宽，行高，可以进行是否预览单元格内容，是否打印/导出单元格内容，背景，用图片，XML显示内容等设置，也可以实现单元格提示，显示二进制内容，下载后的文件名等功能。</w:t>
            </w:r>
          </w:p>
          <w:p>
            <w:pPr>
              <w:spacing w:line="288" w:lineRule="auto"/>
              <w:ind w:firstLine="420" w:firstLineChars="200"/>
              <w:rPr>
                <w:rFonts w:ascii="宋体" w:hAnsi="宋体"/>
                <w:sz w:val="21"/>
                <w:szCs w:val="21"/>
              </w:rPr>
            </w:pPr>
            <w:r>
              <w:rPr>
                <w:rFonts w:hint="eastAsia" w:ascii="宋体" w:hAnsi="宋体"/>
                <w:sz w:val="21"/>
                <w:szCs w:val="21"/>
              </w:rPr>
              <w:t>14.支持web属性的设置，即浏览器背景、引用本地JS、引用服务器JS、标题、报表缓存有效时间、打印机等功能的设置。</w:t>
            </w:r>
          </w:p>
          <w:p>
            <w:pPr>
              <w:spacing w:line="288" w:lineRule="auto"/>
              <w:ind w:firstLine="420" w:firstLineChars="200"/>
              <w:rPr>
                <w:rFonts w:ascii="宋体" w:hAnsi="宋体"/>
                <w:sz w:val="21"/>
                <w:szCs w:val="21"/>
              </w:rPr>
            </w:pPr>
            <w:r>
              <w:rPr>
                <w:rFonts w:hint="eastAsia" w:ascii="宋体" w:hAnsi="宋体"/>
                <w:sz w:val="21"/>
                <w:szCs w:val="21"/>
              </w:rPr>
              <w:t>15.支持多种的一维条码以及二维图形码，如QRCode等常用码。</w:t>
            </w:r>
          </w:p>
          <w:p>
            <w:pPr>
              <w:spacing w:line="288" w:lineRule="auto"/>
              <w:rPr>
                <w:rFonts w:ascii="宋体" w:hAnsi="宋体"/>
                <w:b/>
                <w:bCs/>
                <w:sz w:val="21"/>
                <w:szCs w:val="21"/>
              </w:rPr>
            </w:pPr>
            <w:r>
              <w:rPr>
                <w:rFonts w:hint="eastAsia" w:ascii="宋体" w:hAnsi="宋体"/>
                <w:b/>
                <w:bCs/>
                <w:sz w:val="21"/>
                <w:szCs w:val="21"/>
              </w:rPr>
              <w:t>四、报表的输出和打印模块</w:t>
            </w:r>
          </w:p>
          <w:p>
            <w:pPr>
              <w:spacing w:line="288" w:lineRule="auto"/>
              <w:ind w:firstLine="420" w:firstLineChars="200"/>
              <w:rPr>
                <w:rFonts w:ascii="宋体" w:hAnsi="宋体"/>
                <w:sz w:val="21"/>
                <w:szCs w:val="21"/>
              </w:rPr>
            </w:pPr>
            <w:r>
              <w:rPr>
                <w:rFonts w:hint="eastAsia" w:ascii="宋体" w:hAnsi="宋体"/>
                <w:sz w:val="21"/>
                <w:szCs w:val="21"/>
              </w:rPr>
              <w:t>1.支持excel原样导出，即使报表模版是分页的导出时也不会分页，会连续导出，有重复标题的，标题也只显示一次。</w:t>
            </w:r>
          </w:p>
          <w:p>
            <w:pPr>
              <w:spacing w:line="288" w:lineRule="auto"/>
              <w:ind w:firstLine="420" w:firstLineChars="200"/>
              <w:rPr>
                <w:rFonts w:ascii="宋体" w:hAnsi="宋体"/>
                <w:sz w:val="21"/>
                <w:szCs w:val="21"/>
              </w:rPr>
            </w:pPr>
            <w:r>
              <w:rPr>
                <w:rFonts w:hint="eastAsia" w:ascii="宋体" w:hAnsi="宋体"/>
                <w:sz w:val="21"/>
                <w:szCs w:val="21"/>
              </w:rPr>
              <w:t>2.支持excel分页导出，如果报表模版是分页的，导出时会按照分页的结果形式导出，重复的标题等也会重复。</w:t>
            </w:r>
          </w:p>
          <w:p>
            <w:pPr>
              <w:spacing w:line="288" w:lineRule="auto"/>
              <w:ind w:firstLine="420" w:firstLineChars="200"/>
              <w:rPr>
                <w:rFonts w:ascii="宋体" w:hAnsi="宋体"/>
                <w:sz w:val="21"/>
                <w:szCs w:val="21"/>
              </w:rPr>
            </w:pPr>
            <w:r>
              <w:rPr>
                <w:rFonts w:hint="eastAsia" w:ascii="宋体" w:hAnsi="宋体"/>
                <w:sz w:val="21"/>
                <w:szCs w:val="21"/>
              </w:rPr>
              <w:t>3.支持excel的分页分Sheet导出，即能实现报表结果的每一页为一个Sheet保存在Excel文件中。</w:t>
            </w:r>
          </w:p>
          <w:p>
            <w:pPr>
              <w:spacing w:line="288" w:lineRule="auto"/>
              <w:ind w:firstLine="420" w:firstLineChars="200"/>
              <w:rPr>
                <w:rFonts w:ascii="宋体" w:hAnsi="宋体"/>
                <w:sz w:val="21"/>
                <w:szCs w:val="21"/>
              </w:rPr>
            </w:pPr>
            <w:r>
              <w:rPr>
                <w:rFonts w:hint="eastAsia" w:ascii="宋体" w:hAnsi="宋体"/>
                <w:sz w:val="21"/>
                <w:szCs w:val="21"/>
              </w:rPr>
              <w:t>4.支持讲报表导出为图片、pdf、word、csv、svg、txt和内置数据集等格式的文件。</w:t>
            </w:r>
          </w:p>
          <w:p>
            <w:pPr>
              <w:spacing w:line="288" w:lineRule="auto"/>
              <w:ind w:firstLine="420" w:firstLineChars="200"/>
              <w:rPr>
                <w:rFonts w:ascii="宋体" w:hAnsi="宋体"/>
                <w:sz w:val="21"/>
                <w:szCs w:val="21"/>
              </w:rPr>
            </w:pPr>
            <w:r>
              <w:rPr>
                <w:rFonts w:hint="eastAsia" w:ascii="宋体" w:hAnsi="宋体"/>
                <w:sz w:val="21"/>
                <w:szCs w:val="21"/>
              </w:rPr>
              <w:t>5.支持对导出的报表进行重命名。</w:t>
            </w:r>
          </w:p>
          <w:p>
            <w:pPr>
              <w:spacing w:line="288" w:lineRule="auto"/>
              <w:ind w:firstLine="420" w:firstLineChars="200"/>
              <w:rPr>
                <w:rFonts w:ascii="宋体" w:hAnsi="宋体"/>
                <w:sz w:val="21"/>
                <w:szCs w:val="21"/>
              </w:rPr>
            </w:pPr>
            <w:r>
              <w:rPr>
                <w:rFonts w:hint="eastAsia" w:ascii="宋体" w:hAnsi="宋体"/>
                <w:sz w:val="21"/>
                <w:szCs w:val="21"/>
              </w:rPr>
              <w:t>6.支持预览报表时在URL后面增加导出格式直接导出。</w:t>
            </w:r>
          </w:p>
          <w:p>
            <w:pPr>
              <w:spacing w:line="288" w:lineRule="auto"/>
              <w:ind w:firstLine="420" w:firstLineChars="200"/>
              <w:rPr>
                <w:rFonts w:ascii="宋体" w:hAnsi="宋体"/>
                <w:sz w:val="21"/>
                <w:szCs w:val="21"/>
              </w:rPr>
            </w:pPr>
            <w:r>
              <w:rPr>
                <w:rFonts w:hint="eastAsia" w:ascii="宋体" w:hAnsi="宋体"/>
                <w:sz w:val="21"/>
                <w:szCs w:val="21"/>
              </w:rPr>
              <w:t>7.支持不预览报表直接导出、打印结果。</w:t>
            </w:r>
          </w:p>
          <w:p>
            <w:pPr>
              <w:spacing w:line="288" w:lineRule="auto"/>
              <w:ind w:firstLine="420" w:firstLineChars="200"/>
              <w:rPr>
                <w:rFonts w:ascii="宋体" w:hAnsi="宋体"/>
                <w:sz w:val="21"/>
                <w:szCs w:val="21"/>
              </w:rPr>
            </w:pPr>
            <w:r>
              <w:rPr>
                <w:rFonts w:hint="eastAsia" w:ascii="宋体" w:hAnsi="宋体"/>
                <w:sz w:val="21"/>
                <w:szCs w:val="21"/>
              </w:rPr>
              <w:t>8.支持根据不同条件生成的多张报表批量导出、打印。</w:t>
            </w:r>
          </w:p>
          <w:p>
            <w:pPr>
              <w:spacing w:line="288" w:lineRule="auto"/>
              <w:ind w:firstLine="420" w:firstLineChars="200"/>
              <w:rPr>
                <w:rFonts w:ascii="宋体" w:hAnsi="宋体"/>
                <w:sz w:val="21"/>
                <w:szCs w:val="21"/>
              </w:rPr>
            </w:pPr>
            <w:r>
              <w:rPr>
                <w:rFonts w:hint="eastAsia" w:ascii="宋体" w:hAnsi="宋体"/>
                <w:sz w:val="21"/>
                <w:szCs w:val="21"/>
              </w:rPr>
              <w:t>9.支持自定义导出，即根据需要自定义导出、打印多个报表。</w:t>
            </w:r>
          </w:p>
          <w:p>
            <w:pPr>
              <w:spacing w:line="288" w:lineRule="auto"/>
              <w:ind w:firstLine="420" w:firstLineChars="200"/>
              <w:rPr>
                <w:rFonts w:ascii="宋体" w:hAnsi="宋体"/>
                <w:sz w:val="21"/>
                <w:szCs w:val="21"/>
              </w:rPr>
            </w:pPr>
            <w:r>
              <w:rPr>
                <w:rFonts w:hint="eastAsia" w:ascii="宋体" w:hAnsi="宋体"/>
                <w:sz w:val="21"/>
                <w:szCs w:val="21"/>
              </w:rPr>
              <w:t>10.支持falsh打印、pdf打印和applet打印方式。</w:t>
            </w:r>
          </w:p>
          <w:p>
            <w:pPr>
              <w:spacing w:line="288" w:lineRule="auto"/>
              <w:ind w:firstLine="420" w:firstLineChars="200"/>
              <w:rPr>
                <w:rFonts w:ascii="宋体" w:hAnsi="宋体"/>
                <w:sz w:val="21"/>
                <w:szCs w:val="21"/>
              </w:rPr>
            </w:pPr>
            <w:r>
              <w:rPr>
                <w:rFonts w:hint="eastAsia" w:ascii="宋体" w:hAnsi="宋体"/>
                <w:sz w:val="21"/>
                <w:szCs w:val="21"/>
              </w:rPr>
              <w:t>11.支持将一个多sheet报表中每个不同的报表设置不同的页面大小进行打印，也支持页面的自动识别打印。</w:t>
            </w:r>
          </w:p>
          <w:p>
            <w:pPr>
              <w:spacing w:line="288" w:lineRule="auto"/>
              <w:ind w:firstLine="420" w:firstLineChars="200"/>
              <w:rPr>
                <w:rFonts w:ascii="宋体" w:hAnsi="宋体"/>
                <w:sz w:val="21"/>
                <w:szCs w:val="21"/>
              </w:rPr>
            </w:pPr>
            <w:r>
              <w:rPr>
                <w:rFonts w:hint="eastAsia" w:ascii="宋体" w:hAnsi="宋体"/>
                <w:sz w:val="21"/>
                <w:szCs w:val="21"/>
              </w:rPr>
              <w:t>12.支持通过设置打印机的偏移尺寸，使其能够达到正常的打印效果。</w:t>
            </w:r>
          </w:p>
          <w:p>
            <w:pPr>
              <w:spacing w:line="288" w:lineRule="auto"/>
              <w:ind w:firstLine="420" w:firstLineChars="200"/>
              <w:rPr>
                <w:rFonts w:ascii="宋体" w:hAnsi="宋体"/>
                <w:sz w:val="21"/>
                <w:szCs w:val="21"/>
              </w:rPr>
            </w:pPr>
            <w:r>
              <w:rPr>
                <w:rFonts w:hint="eastAsia" w:ascii="宋体" w:hAnsi="宋体"/>
                <w:sz w:val="21"/>
                <w:szCs w:val="21"/>
              </w:rPr>
              <w:t>13.支持静默打印，即用默认的打印机打印出所有页并且不弹出对话框进行设置。</w:t>
            </w:r>
          </w:p>
          <w:p>
            <w:pPr>
              <w:spacing w:line="288" w:lineRule="auto"/>
              <w:rPr>
                <w:rFonts w:ascii="宋体" w:hAnsi="宋体"/>
                <w:b/>
                <w:bCs/>
                <w:sz w:val="21"/>
                <w:szCs w:val="21"/>
              </w:rPr>
            </w:pPr>
            <w:r>
              <w:rPr>
                <w:rFonts w:hint="eastAsia" w:ascii="宋体" w:hAnsi="宋体"/>
                <w:b/>
                <w:bCs/>
                <w:sz w:val="21"/>
                <w:szCs w:val="21"/>
              </w:rPr>
              <w:t>五、图表模块</w:t>
            </w:r>
          </w:p>
          <w:p>
            <w:pPr>
              <w:spacing w:line="288" w:lineRule="auto"/>
              <w:ind w:firstLine="420" w:firstLineChars="200"/>
              <w:rPr>
                <w:rFonts w:ascii="宋体" w:hAnsi="宋体"/>
                <w:sz w:val="21"/>
                <w:szCs w:val="21"/>
              </w:rPr>
            </w:pPr>
            <w:r>
              <w:rPr>
                <w:rFonts w:hint="eastAsia" w:ascii="宋体" w:hAnsi="宋体"/>
                <w:sz w:val="21"/>
                <w:szCs w:val="21"/>
              </w:rPr>
              <w:t>1.图表采用html5技术开发，以更好支持以IOS系统为操作系统的iPad、iPhone，图表必须自主研发，不允许采用集成开源的报表组件的方式。</w:t>
            </w:r>
          </w:p>
          <w:p>
            <w:pPr>
              <w:spacing w:line="288" w:lineRule="auto"/>
              <w:ind w:firstLine="420" w:firstLineChars="200"/>
              <w:rPr>
                <w:rFonts w:ascii="宋体" w:hAnsi="宋体"/>
                <w:sz w:val="21"/>
                <w:szCs w:val="21"/>
              </w:rPr>
            </w:pPr>
            <w:r>
              <w:rPr>
                <w:rFonts w:hint="eastAsia" w:ascii="宋体" w:hAnsi="宋体"/>
                <w:sz w:val="21"/>
                <w:szCs w:val="21"/>
              </w:rPr>
              <w:t>2.提供柱形图、折线图、条形图、面积图、散点图、雷达图、气泡图、地图、组合图、甘特图、全距图、股价图和仪表盘等多种二维、三维统计图表。</w:t>
            </w:r>
          </w:p>
          <w:p>
            <w:pPr>
              <w:spacing w:line="288" w:lineRule="auto"/>
              <w:ind w:firstLine="420" w:firstLineChars="200"/>
              <w:rPr>
                <w:rFonts w:ascii="宋体" w:hAnsi="宋体"/>
                <w:sz w:val="21"/>
                <w:szCs w:val="21"/>
              </w:rPr>
            </w:pPr>
            <w:r>
              <w:rPr>
                <w:rFonts w:hint="eastAsia" w:ascii="宋体" w:hAnsi="宋体"/>
                <w:sz w:val="21"/>
                <w:szCs w:val="21"/>
              </w:rPr>
              <w:t>3.支持柱形图、折线图、面积图、组合图下方有跟坐标轴对应的数据表。</w:t>
            </w:r>
          </w:p>
          <w:p>
            <w:pPr>
              <w:spacing w:line="288" w:lineRule="auto"/>
              <w:ind w:firstLine="420" w:firstLineChars="200"/>
              <w:rPr>
                <w:rFonts w:ascii="宋体" w:hAnsi="宋体"/>
                <w:sz w:val="21"/>
                <w:szCs w:val="21"/>
              </w:rPr>
            </w:pPr>
            <w:r>
              <w:rPr>
                <w:rFonts w:hint="eastAsia" w:ascii="宋体" w:hAnsi="宋体"/>
                <w:sz w:val="21"/>
                <w:szCs w:val="21"/>
              </w:rPr>
              <w:t>4.提供不同类型的折线图，包括堆积折线图，百分比堆积折线图，数据标记折线图，堆积数据标记折线图，百分比堆积数据标记折线图。</w:t>
            </w:r>
          </w:p>
          <w:p>
            <w:pPr>
              <w:spacing w:line="288" w:lineRule="auto"/>
              <w:ind w:firstLine="420" w:firstLineChars="200"/>
              <w:rPr>
                <w:rFonts w:ascii="宋体" w:hAnsi="宋体"/>
                <w:sz w:val="21"/>
                <w:szCs w:val="21"/>
              </w:rPr>
            </w:pPr>
            <w:r>
              <w:rPr>
                <w:rFonts w:hint="eastAsia" w:ascii="宋体" w:hAnsi="宋体"/>
                <w:sz w:val="21"/>
                <w:szCs w:val="21"/>
              </w:rPr>
              <w:t>5.提供不同类型的面积图，包括堆积面积图，百分比堆积面积图，三维面积图，三维堆积面积图，三维百分比堆积面积图。</w:t>
            </w:r>
          </w:p>
          <w:p>
            <w:pPr>
              <w:spacing w:line="288" w:lineRule="auto"/>
              <w:ind w:firstLine="420" w:firstLineChars="200"/>
              <w:rPr>
                <w:rFonts w:ascii="宋体" w:hAnsi="宋体"/>
                <w:sz w:val="21"/>
                <w:szCs w:val="21"/>
              </w:rPr>
            </w:pPr>
            <w:r>
              <w:rPr>
                <w:rFonts w:hint="eastAsia" w:ascii="宋体" w:hAnsi="宋体"/>
                <w:sz w:val="21"/>
                <w:szCs w:val="21"/>
              </w:rPr>
              <w:t>6.提供不同类型的饼图，包括分离饼图，复合饼图，复合条饼图，三维饼图，三维分离饼图，可以实现高亮交互，弹出扇面。</w:t>
            </w:r>
          </w:p>
          <w:p>
            <w:pPr>
              <w:spacing w:line="288" w:lineRule="auto"/>
              <w:ind w:firstLine="420" w:firstLineChars="200"/>
              <w:rPr>
                <w:rFonts w:ascii="宋体" w:hAnsi="宋体"/>
                <w:sz w:val="21"/>
                <w:szCs w:val="21"/>
              </w:rPr>
            </w:pPr>
            <w:r>
              <w:rPr>
                <w:rFonts w:hint="eastAsia" w:ascii="宋体" w:hAnsi="宋体"/>
                <w:sz w:val="21"/>
                <w:szCs w:val="21"/>
              </w:rPr>
              <w:t>7.提供数据标记散点图，数据标记折线散点图和折线散点图。</w:t>
            </w:r>
          </w:p>
          <w:p>
            <w:pPr>
              <w:spacing w:line="288" w:lineRule="auto"/>
              <w:ind w:firstLine="420" w:firstLineChars="200"/>
              <w:rPr>
                <w:rFonts w:ascii="宋体" w:hAnsi="宋体"/>
                <w:sz w:val="21"/>
                <w:szCs w:val="21"/>
              </w:rPr>
            </w:pPr>
            <w:r>
              <w:rPr>
                <w:rFonts w:hint="eastAsia" w:ascii="宋体" w:hAnsi="宋体"/>
                <w:sz w:val="21"/>
                <w:szCs w:val="21"/>
              </w:rPr>
              <w:t>8.提供世界地图、国家地图、省份地图，满足以地市为基础统计、展示数据的要求。</w:t>
            </w:r>
          </w:p>
          <w:p>
            <w:pPr>
              <w:spacing w:line="288" w:lineRule="auto"/>
              <w:ind w:firstLine="420" w:firstLineChars="200"/>
              <w:rPr>
                <w:rFonts w:ascii="宋体" w:hAnsi="宋体"/>
                <w:sz w:val="21"/>
                <w:szCs w:val="21"/>
              </w:rPr>
            </w:pPr>
            <w:r>
              <w:rPr>
                <w:rFonts w:hint="eastAsia" w:ascii="宋体" w:hAnsi="宋体"/>
                <w:sz w:val="21"/>
                <w:szCs w:val="21"/>
              </w:rPr>
              <w:t>9.支持集成百度、google地图，并可以灵活绑定、展示数据。</w:t>
            </w:r>
          </w:p>
          <w:p>
            <w:pPr>
              <w:spacing w:line="288" w:lineRule="auto"/>
              <w:ind w:firstLine="420" w:firstLineChars="200"/>
              <w:rPr>
                <w:rFonts w:ascii="宋体" w:hAnsi="宋体"/>
                <w:sz w:val="21"/>
                <w:szCs w:val="21"/>
              </w:rPr>
            </w:pPr>
            <w:r>
              <w:rPr>
                <w:rFonts w:hint="eastAsia" w:ascii="宋体" w:hAnsi="宋体"/>
                <w:sz w:val="21"/>
                <w:szCs w:val="21"/>
              </w:rPr>
              <w:t>10.支持自定义地图图片，可以选用内置地图，也可以自己上传地图图片，通过自定义绑定数据的方式，实现数据地图的设置和展现。</w:t>
            </w:r>
          </w:p>
          <w:p>
            <w:pPr>
              <w:spacing w:line="288" w:lineRule="auto"/>
              <w:ind w:firstLine="420" w:firstLineChars="200"/>
              <w:rPr>
                <w:rFonts w:ascii="宋体" w:hAnsi="宋体"/>
                <w:sz w:val="21"/>
                <w:szCs w:val="21"/>
              </w:rPr>
            </w:pPr>
            <w:r>
              <w:rPr>
                <w:rFonts w:hint="eastAsia" w:ascii="宋体" w:hAnsi="宋体"/>
                <w:sz w:val="21"/>
                <w:szCs w:val="21"/>
              </w:rPr>
              <w:t>11.支持用相同颜色的深浅来表示数据值高低的热力地图。</w:t>
            </w:r>
          </w:p>
          <w:p>
            <w:pPr>
              <w:spacing w:line="288" w:lineRule="auto"/>
              <w:ind w:firstLine="420" w:firstLineChars="200"/>
              <w:rPr>
                <w:rFonts w:ascii="宋体" w:hAnsi="宋体"/>
                <w:sz w:val="21"/>
                <w:szCs w:val="21"/>
              </w:rPr>
            </w:pPr>
            <w:r>
              <w:rPr>
                <w:rFonts w:hint="eastAsia" w:ascii="宋体" w:hAnsi="宋体"/>
                <w:sz w:val="21"/>
                <w:szCs w:val="21"/>
              </w:rPr>
              <w:t>12.提供多样的坐标轴功能设置，如文本坐标轴、时间坐标轴的坐标轴样式，以及0刻度自动对齐，竖排显示，旋转，显示箭头，值范围以及单位等设置。</w:t>
            </w:r>
          </w:p>
          <w:p>
            <w:pPr>
              <w:spacing w:line="288" w:lineRule="auto"/>
              <w:ind w:firstLine="420" w:firstLineChars="200"/>
              <w:rPr>
                <w:rFonts w:ascii="宋体" w:hAnsi="宋体"/>
                <w:sz w:val="21"/>
                <w:szCs w:val="21"/>
              </w:rPr>
            </w:pPr>
            <w:r>
              <w:rPr>
                <w:rFonts w:hint="eastAsia" w:ascii="宋体" w:hAnsi="宋体"/>
                <w:sz w:val="21"/>
                <w:szCs w:val="21"/>
              </w:rPr>
              <w:t>13.支持自定义设置图表的布局和风格，包含有图表区，绘图区，标题区，图例区，可以在这几个区域里面进行操作，其中这几个区域均可设置线型，颜色，背景，是否圆角边框显示，绘图区还间隔背景和网格线背景。</w:t>
            </w:r>
          </w:p>
          <w:p>
            <w:pPr>
              <w:spacing w:line="288" w:lineRule="auto"/>
              <w:ind w:firstLine="420" w:firstLineChars="200"/>
              <w:rPr>
                <w:rFonts w:ascii="宋体" w:hAnsi="宋体"/>
                <w:sz w:val="21"/>
                <w:szCs w:val="21"/>
              </w:rPr>
            </w:pPr>
            <w:r>
              <w:rPr>
                <w:rFonts w:hint="eastAsia" w:ascii="宋体" w:hAnsi="宋体"/>
                <w:sz w:val="21"/>
                <w:szCs w:val="21"/>
              </w:rPr>
              <w:t>14.支持使用单元格中的数据或数据集红的数据作为图表数据源。</w:t>
            </w:r>
          </w:p>
          <w:p>
            <w:pPr>
              <w:spacing w:line="288" w:lineRule="auto"/>
              <w:ind w:firstLine="420" w:firstLineChars="200"/>
              <w:rPr>
                <w:rFonts w:ascii="宋体" w:hAnsi="宋体"/>
                <w:sz w:val="21"/>
                <w:szCs w:val="21"/>
              </w:rPr>
            </w:pPr>
            <w:r>
              <w:rPr>
                <w:rFonts w:hint="eastAsia" w:ascii="宋体" w:hAnsi="宋体"/>
                <w:sz w:val="21"/>
                <w:szCs w:val="21"/>
              </w:rPr>
              <w:t>15.支持设置每一个图表系列的属性。</w:t>
            </w:r>
          </w:p>
          <w:p>
            <w:pPr>
              <w:spacing w:line="288" w:lineRule="auto"/>
              <w:ind w:firstLine="420" w:firstLineChars="200"/>
              <w:rPr>
                <w:rFonts w:ascii="宋体" w:hAnsi="宋体"/>
                <w:sz w:val="21"/>
                <w:szCs w:val="21"/>
              </w:rPr>
            </w:pPr>
            <w:r>
              <w:rPr>
                <w:rFonts w:hint="eastAsia" w:ascii="宋体" w:hAnsi="宋体"/>
                <w:sz w:val="21"/>
                <w:szCs w:val="21"/>
              </w:rPr>
              <w:t>16.支持在线切换图表样式，仅需要在设计中设计一个图表，选择多种展示类型即可。</w:t>
            </w:r>
          </w:p>
          <w:p>
            <w:pPr>
              <w:spacing w:line="288" w:lineRule="auto"/>
              <w:ind w:firstLine="420" w:firstLineChars="200"/>
              <w:rPr>
                <w:rFonts w:ascii="宋体" w:hAnsi="宋体"/>
                <w:sz w:val="21"/>
                <w:szCs w:val="21"/>
              </w:rPr>
            </w:pPr>
            <w:r>
              <w:rPr>
                <w:rFonts w:hint="eastAsia" w:ascii="宋体" w:hAnsi="宋体"/>
                <w:sz w:val="21"/>
                <w:szCs w:val="21"/>
              </w:rPr>
              <w:t>17.支持图表联动，即可通过点击图表系列改变同一报表中的其它图表元素，达到图表数据联动分析的效果。</w:t>
            </w:r>
          </w:p>
          <w:p>
            <w:pPr>
              <w:spacing w:line="288" w:lineRule="auto"/>
              <w:ind w:firstLine="420" w:firstLineChars="200"/>
              <w:rPr>
                <w:rFonts w:ascii="宋体" w:hAnsi="宋体"/>
                <w:sz w:val="21"/>
                <w:szCs w:val="21"/>
              </w:rPr>
            </w:pPr>
            <w:r>
              <w:rPr>
                <w:rFonts w:hint="eastAsia" w:ascii="宋体" w:hAnsi="宋体"/>
                <w:sz w:val="21"/>
                <w:szCs w:val="21"/>
              </w:rPr>
              <w:t>18.支持通过缩放分类轴，对整个图表的局部进行缩放。</w:t>
            </w:r>
          </w:p>
          <w:p>
            <w:pPr>
              <w:spacing w:line="288" w:lineRule="auto"/>
              <w:ind w:firstLine="420" w:firstLineChars="200"/>
              <w:rPr>
                <w:rFonts w:ascii="宋体" w:hAnsi="宋体"/>
                <w:sz w:val="21"/>
                <w:szCs w:val="21"/>
              </w:rPr>
            </w:pPr>
            <w:r>
              <w:rPr>
                <w:rFonts w:hint="eastAsia" w:ascii="宋体" w:hAnsi="宋体"/>
                <w:sz w:val="21"/>
                <w:szCs w:val="21"/>
              </w:rPr>
              <w:t>19.支持图表的多层超级连接设置，包括悬浮窗图表，联动单元格，联动悬浮元素等。</w:t>
            </w:r>
          </w:p>
          <w:p>
            <w:pPr>
              <w:spacing w:line="288" w:lineRule="auto"/>
              <w:ind w:firstLine="420" w:firstLineChars="200"/>
              <w:rPr>
                <w:rFonts w:ascii="宋体" w:hAnsi="宋体"/>
                <w:sz w:val="21"/>
                <w:szCs w:val="21"/>
              </w:rPr>
            </w:pPr>
            <w:r>
              <w:rPr>
                <w:rFonts w:hint="eastAsia" w:ascii="宋体" w:hAnsi="宋体"/>
                <w:sz w:val="21"/>
                <w:szCs w:val="21"/>
              </w:rPr>
              <w:t>20.支持灵活的交互属性，实现数据点提示，高亮，坐标轴提示，坐标轴缩放以及图标自动刷新等功能。</w:t>
            </w:r>
          </w:p>
          <w:p>
            <w:pPr>
              <w:spacing w:line="288" w:lineRule="auto"/>
              <w:rPr>
                <w:rFonts w:ascii="宋体" w:hAnsi="宋体"/>
                <w:b/>
                <w:bCs/>
                <w:sz w:val="21"/>
                <w:szCs w:val="21"/>
              </w:rPr>
            </w:pPr>
            <w:r>
              <w:rPr>
                <w:rFonts w:hint="eastAsia" w:ascii="宋体" w:hAnsi="宋体"/>
                <w:b/>
                <w:bCs/>
                <w:sz w:val="21"/>
                <w:szCs w:val="21"/>
              </w:rPr>
              <w:t>六、数据统计分析模块</w:t>
            </w:r>
          </w:p>
          <w:p>
            <w:pPr>
              <w:spacing w:line="288" w:lineRule="auto"/>
              <w:ind w:firstLine="420" w:firstLineChars="200"/>
              <w:rPr>
                <w:rFonts w:ascii="宋体" w:hAnsi="宋体"/>
                <w:sz w:val="21"/>
                <w:szCs w:val="21"/>
              </w:rPr>
            </w:pPr>
            <w:r>
              <w:rPr>
                <w:rFonts w:hint="eastAsia" w:ascii="宋体" w:hAnsi="宋体"/>
                <w:sz w:val="21"/>
                <w:szCs w:val="21"/>
              </w:rPr>
              <w:t>1.支持动态隔间预算，对报表扩展后的数据，可以进行定位，从而设计同期比，占比，累计，排名等传统的工具无法实现的报表。</w:t>
            </w:r>
          </w:p>
          <w:p>
            <w:pPr>
              <w:spacing w:line="288" w:lineRule="auto"/>
              <w:ind w:firstLine="420" w:firstLineChars="200"/>
              <w:rPr>
                <w:rFonts w:ascii="宋体" w:hAnsi="宋体"/>
                <w:sz w:val="21"/>
                <w:szCs w:val="21"/>
              </w:rPr>
            </w:pPr>
            <w:r>
              <w:rPr>
                <w:rFonts w:hint="eastAsia" w:ascii="宋体" w:hAnsi="宋体"/>
                <w:sz w:val="21"/>
                <w:szCs w:val="21"/>
              </w:rPr>
              <w:t>2.支持公式和条件分组，即对数据记录，并不是简单地按照值进行分组，而是根据一定的公式逻辑的计算结果进行分组。</w:t>
            </w:r>
          </w:p>
          <w:p>
            <w:pPr>
              <w:spacing w:line="288" w:lineRule="auto"/>
              <w:ind w:firstLine="420" w:firstLineChars="200"/>
              <w:rPr>
                <w:rFonts w:ascii="宋体" w:hAnsi="宋体"/>
                <w:sz w:val="21"/>
                <w:szCs w:val="21"/>
              </w:rPr>
            </w:pPr>
            <w:r>
              <w:rPr>
                <w:rFonts w:hint="eastAsia" w:ascii="宋体" w:hAnsi="宋体"/>
                <w:sz w:val="21"/>
                <w:szCs w:val="21"/>
              </w:rPr>
              <w:t>3.支持组织递归树，即针对ID，PREID形式的数据，可以自动进行组织递归树分层，无需多层过滤条件，同时也提升此类报表的执行性能。</w:t>
            </w:r>
          </w:p>
          <w:p>
            <w:pPr>
              <w:spacing w:line="288" w:lineRule="auto"/>
              <w:ind w:firstLine="420" w:firstLineChars="200"/>
              <w:rPr>
                <w:rFonts w:ascii="宋体" w:hAnsi="宋体"/>
                <w:sz w:val="21"/>
                <w:szCs w:val="21"/>
              </w:rPr>
            </w:pPr>
            <w:r>
              <w:rPr>
                <w:rFonts w:hint="eastAsia" w:ascii="宋体" w:hAnsi="宋体"/>
                <w:sz w:val="21"/>
                <w:szCs w:val="21"/>
              </w:rPr>
              <w:t>4.支持报表的多层钻取，钻取的目标是网络报表，网页链接，邮件，JavaScript，动态参数，流程管理，悬浮元素，联动单元格，联动悬浮元素等。</w:t>
            </w:r>
          </w:p>
          <w:p>
            <w:pPr>
              <w:spacing w:line="288" w:lineRule="auto"/>
              <w:ind w:firstLine="420" w:firstLineChars="200"/>
              <w:rPr>
                <w:rFonts w:ascii="宋体" w:hAnsi="宋体"/>
                <w:sz w:val="21"/>
                <w:szCs w:val="21"/>
              </w:rPr>
            </w:pPr>
            <w:r>
              <w:rPr>
                <w:rFonts w:hint="eastAsia" w:ascii="宋体" w:hAnsi="宋体"/>
                <w:sz w:val="21"/>
                <w:szCs w:val="21"/>
              </w:rPr>
              <w:t>5.支持在一个链接上定义多个不同的链接指向，用户点击链接会提供下拉选择。</w:t>
            </w:r>
          </w:p>
          <w:p>
            <w:pPr>
              <w:spacing w:line="288" w:lineRule="auto"/>
              <w:ind w:firstLine="420" w:firstLineChars="200"/>
              <w:rPr>
                <w:rFonts w:ascii="宋体" w:hAnsi="宋体"/>
                <w:sz w:val="21"/>
                <w:szCs w:val="21"/>
              </w:rPr>
            </w:pPr>
            <w:r>
              <w:rPr>
                <w:rFonts w:hint="eastAsia" w:ascii="宋体" w:hAnsi="宋体"/>
                <w:sz w:val="21"/>
                <w:szCs w:val="21"/>
              </w:rPr>
              <w:t>6.支持多样化的控件类型，包括文本框，密码，下拉框，下拉树，复选框，复选框组，单选按钮组，文件，下拉复选框，日期，时间，文本域，网页框，列表，按钮，数字，视图树等。</w:t>
            </w:r>
          </w:p>
          <w:p>
            <w:pPr>
              <w:spacing w:line="288" w:lineRule="auto"/>
              <w:ind w:firstLine="420" w:firstLineChars="200"/>
              <w:rPr>
                <w:rFonts w:ascii="宋体" w:hAnsi="宋体"/>
                <w:sz w:val="21"/>
                <w:szCs w:val="21"/>
              </w:rPr>
            </w:pPr>
            <w:r>
              <w:rPr>
                <w:rFonts w:hint="eastAsia" w:ascii="宋体" w:hAnsi="宋体"/>
                <w:sz w:val="21"/>
                <w:szCs w:val="21"/>
              </w:rPr>
              <w:t>7.支持对控件的各种属性进行设置，实现一些特定的规则限制，包括控件是否可用，是否可见，控件名，是否允许为空，错误提示，水印。</w:t>
            </w:r>
          </w:p>
          <w:p>
            <w:pPr>
              <w:spacing w:line="288" w:lineRule="auto"/>
              <w:ind w:firstLine="420" w:firstLineChars="200"/>
              <w:rPr>
                <w:rFonts w:ascii="宋体" w:hAnsi="宋体"/>
                <w:sz w:val="21"/>
                <w:szCs w:val="21"/>
              </w:rPr>
            </w:pPr>
            <w:r>
              <w:rPr>
                <w:rFonts w:hint="eastAsia" w:ascii="宋体" w:hAnsi="宋体"/>
                <w:sz w:val="21"/>
                <w:szCs w:val="21"/>
              </w:rPr>
              <w:t>8.可以根据需要确定查询前是否显示报表，是否显示参数界面，实现参数面板背景，参数显示位置的设置，同时参数显示位置有三种方式，包括靠左，靠右，居中。</w:t>
            </w:r>
          </w:p>
          <w:p>
            <w:pPr>
              <w:spacing w:line="288" w:lineRule="auto"/>
              <w:ind w:firstLine="420" w:firstLineChars="200"/>
              <w:rPr>
                <w:rFonts w:ascii="宋体" w:hAnsi="宋体"/>
                <w:sz w:val="21"/>
                <w:szCs w:val="21"/>
              </w:rPr>
            </w:pPr>
            <w:r>
              <w:rPr>
                <w:rFonts w:hint="eastAsia" w:ascii="宋体" w:hAnsi="宋体"/>
                <w:sz w:val="21"/>
                <w:szCs w:val="21"/>
              </w:rPr>
              <w:t>9.支持报表参数、数据集参数和全局参数三种参数类型。</w:t>
            </w:r>
          </w:p>
          <w:p>
            <w:pPr>
              <w:spacing w:line="288" w:lineRule="auto"/>
              <w:rPr>
                <w:rFonts w:ascii="宋体" w:hAnsi="宋体"/>
                <w:b/>
                <w:bCs/>
                <w:sz w:val="21"/>
                <w:szCs w:val="21"/>
              </w:rPr>
            </w:pPr>
            <w:r>
              <w:rPr>
                <w:rFonts w:hint="eastAsia" w:ascii="宋体" w:hAnsi="宋体"/>
                <w:b/>
                <w:bCs/>
                <w:sz w:val="21"/>
                <w:szCs w:val="21"/>
              </w:rPr>
              <w:t>七、数据填报模块</w:t>
            </w:r>
          </w:p>
          <w:p>
            <w:pPr>
              <w:spacing w:line="288" w:lineRule="auto"/>
              <w:ind w:firstLine="420" w:firstLineChars="200"/>
              <w:rPr>
                <w:rFonts w:ascii="宋体" w:hAnsi="宋体"/>
                <w:sz w:val="21"/>
                <w:szCs w:val="21"/>
              </w:rPr>
            </w:pPr>
            <w:r>
              <w:rPr>
                <w:rFonts w:hint="eastAsia" w:ascii="宋体" w:hAnsi="宋体"/>
                <w:sz w:val="21"/>
                <w:szCs w:val="21"/>
              </w:rPr>
              <w:t>1.支持web填报表，一张填报表中的数据可以被录入多个不同的数据表、数据库。</w:t>
            </w:r>
          </w:p>
          <w:p>
            <w:pPr>
              <w:spacing w:line="288" w:lineRule="auto"/>
              <w:ind w:firstLine="420" w:firstLineChars="200"/>
              <w:rPr>
                <w:rFonts w:ascii="宋体" w:hAnsi="宋体"/>
                <w:sz w:val="21"/>
                <w:szCs w:val="21"/>
              </w:rPr>
            </w:pPr>
            <w:r>
              <w:rPr>
                <w:rFonts w:hint="eastAsia" w:ascii="宋体" w:hAnsi="宋体"/>
                <w:sz w:val="21"/>
                <w:szCs w:val="21"/>
              </w:rPr>
              <w:t>2.支持插入提交，更新提交，删除提交，智能提交等多种提交方式。可设定当单元格未被编辑时则不参与提交。此外还可以利用JS事件进行更加灵活的提交控制。</w:t>
            </w:r>
          </w:p>
          <w:p>
            <w:pPr>
              <w:spacing w:line="288" w:lineRule="auto"/>
              <w:ind w:firstLine="420" w:firstLineChars="200"/>
              <w:rPr>
                <w:rFonts w:ascii="宋体" w:hAnsi="宋体"/>
                <w:sz w:val="21"/>
                <w:szCs w:val="21"/>
              </w:rPr>
            </w:pPr>
            <w:r>
              <w:rPr>
                <w:rFonts w:hint="eastAsia" w:ascii="宋体" w:hAnsi="宋体"/>
                <w:sz w:val="21"/>
                <w:szCs w:val="21"/>
              </w:rPr>
              <w:t>3.支持跨sheet获取报表中任意单元格的值进行运算，并支持填报时的自动计算。</w:t>
            </w:r>
          </w:p>
          <w:p>
            <w:pPr>
              <w:spacing w:line="288" w:lineRule="auto"/>
              <w:ind w:firstLine="420" w:firstLineChars="200"/>
              <w:rPr>
                <w:rFonts w:ascii="宋体" w:hAnsi="宋体"/>
                <w:sz w:val="21"/>
                <w:szCs w:val="21"/>
              </w:rPr>
            </w:pPr>
            <w:r>
              <w:rPr>
                <w:rFonts w:hint="eastAsia" w:ascii="宋体" w:hAnsi="宋体"/>
                <w:sz w:val="21"/>
                <w:szCs w:val="21"/>
              </w:rPr>
              <w:t>4.提供多种单元格的编辑风格，支持文本，数字，下拉框，日历，复选框，单选框组，复选框组，下拉树，视图树，文件，网页框等多种风格。</w:t>
            </w:r>
          </w:p>
          <w:p>
            <w:pPr>
              <w:spacing w:line="288" w:lineRule="auto"/>
              <w:ind w:firstLine="420" w:firstLineChars="200"/>
              <w:rPr>
                <w:rFonts w:ascii="宋体" w:hAnsi="宋体"/>
                <w:sz w:val="21"/>
                <w:szCs w:val="21"/>
              </w:rPr>
            </w:pPr>
            <w:r>
              <w:rPr>
                <w:rFonts w:hint="eastAsia" w:ascii="宋体" w:hAnsi="宋体"/>
                <w:sz w:val="21"/>
                <w:szCs w:val="21"/>
              </w:rPr>
              <w:t>5.支持多文件上传。</w:t>
            </w:r>
          </w:p>
          <w:p>
            <w:pPr>
              <w:spacing w:line="288" w:lineRule="auto"/>
              <w:ind w:firstLine="420" w:firstLineChars="200"/>
              <w:rPr>
                <w:rFonts w:ascii="宋体" w:hAnsi="宋体"/>
                <w:sz w:val="21"/>
                <w:szCs w:val="21"/>
              </w:rPr>
            </w:pPr>
            <w:r>
              <w:rPr>
                <w:rFonts w:hint="eastAsia" w:ascii="宋体" w:hAnsi="宋体"/>
                <w:sz w:val="21"/>
                <w:szCs w:val="21"/>
              </w:rPr>
              <w:t>6.支持批量修改单元格与字段的关系，且支持智能添加单元格。</w:t>
            </w:r>
          </w:p>
          <w:p>
            <w:pPr>
              <w:spacing w:line="288" w:lineRule="auto"/>
              <w:ind w:firstLine="420" w:firstLineChars="200"/>
              <w:rPr>
                <w:rFonts w:ascii="宋体" w:hAnsi="宋体"/>
                <w:sz w:val="21"/>
                <w:szCs w:val="21"/>
              </w:rPr>
            </w:pPr>
            <w:r>
              <w:rPr>
                <w:rFonts w:hint="eastAsia" w:ascii="宋体" w:hAnsi="宋体"/>
                <w:sz w:val="21"/>
                <w:szCs w:val="21"/>
              </w:rPr>
              <w:t>7.无论何种类型的填报表格（不仅包括列表式报表，还包括布局任意复杂的报表），均支持添加（删除）行列。</w:t>
            </w:r>
          </w:p>
          <w:p>
            <w:pPr>
              <w:spacing w:line="288" w:lineRule="auto"/>
              <w:ind w:firstLine="420" w:firstLineChars="200"/>
              <w:rPr>
                <w:rFonts w:ascii="宋体" w:hAnsi="宋体"/>
                <w:sz w:val="21"/>
                <w:szCs w:val="21"/>
              </w:rPr>
            </w:pPr>
            <w:r>
              <w:rPr>
                <w:rFonts w:hint="eastAsia" w:ascii="宋体" w:hAnsi="宋体"/>
                <w:sz w:val="21"/>
                <w:szCs w:val="21"/>
              </w:rPr>
              <w:t>8.支持用户自定义填报成功/失败时的页面转向。</w:t>
            </w:r>
          </w:p>
          <w:p>
            <w:pPr>
              <w:spacing w:line="288" w:lineRule="auto"/>
              <w:ind w:firstLine="420" w:firstLineChars="200"/>
              <w:rPr>
                <w:rFonts w:ascii="宋体" w:hAnsi="宋体"/>
                <w:sz w:val="21"/>
                <w:szCs w:val="21"/>
              </w:rPr>
            </w:pPr>
            <w:r>
              <w:rPr>
                <w:rFonts w:hint="eastAsia" w:ascii="宋体" w:hAnsi="宋体"/>
                <w:sz w:val="21"/>
                <w:szCs w:val="21"/>
              </w:rPr>
              <w:t>9.支持在填报属性中对填报快捷键的设置。</w:t>
            </w:r>
          </w:p>
          <w:p>
            <w:pPr>
              <w:spacing w:line="288" w:lineRule="auto"/>
              <w:ind w:firstLine="420" w:firstLineChars="200"/>
              <w:rPr>
                <w:rFonts w:ascii="宋体" w:hAnsi="宋体"/>
                <w:sz w:val="21"/>
                <w:szCs w:val="21"/>
              </w:rPr>
            </w:pPr>
            <w:r>
              <w:rPr>
                <w:rFonts w:hint="eastAsia" w:ascii="宋体" w:hAnsi="宋体"/>
                <w:sz w:val="21"/>
                <w:szCs w:val="21"/>
              </w:rPr>
              <w:t>10.支持零编码填报表发布，仅需在普通的报表访问地址后添加&amp;op=write，无需任何编码即可发布为填报表。</w:t>
            </w:r>
          </w:p>
          <w:p>
            <w:pPr>
              <w:spacing w:line="288" w:lineRule="auto"/>
              <w:ind w:firstLine="420" w:firstLineChars="200"/>
              <w:rPr>
                <w:rFonts w:ascii="宋体" w:hAnsi="宋体"/>
                <w:sz w:val="21"/>
                <w:szCs w:val="21"/>
              </w:rPr>
            </w:pPr>
            <w:r>
              <w:rPr>
                <w:rFonts w:hint="eastAsia" w:ascii="宋体" w:hAnsi="宋体"/>
                <w:sz w:val="21"/>
                <w:szCs w:val="21"/>
              </w:rPr>
              <w:t>11.支持将一组相关的报表以多sheet的形式组织到一起进行填报，在web页面上也可以通过sheet按钮进行切换，统一进行提交。</w:t>
            </w:r>
          </w:p>
          <w:p>
            <w:pPr>
              <w:spacing w:line="288" w:lineRule="auto"/>
              <w:ind w:firstLine="420" w:firstLineChars="200"/>
              <w:rPr>
                <w:rFonts w:ascii="宋体" w:hAnsi="宋体"/>
                <w:sz w:val="21"/>
                <w:szCs w:val="21"/>
              </w:rPr>
            </w:pPr>
            <w:r>
              <w:rPr>
                <w:rFonts w:hint="eastAsia" w:ascii="宋体" w:hAnsi="宋体"/>
                <w:sz w:val="21"/>
                <w:szCs w:val="21"/>
              </w:rPr>
              <w:t>12.支持数据多级上报，即填报时需要上级部门审批对其填写的数据进行处理和验证审批，支持自定义工作流。</w:t>
            </w:r>
          </w:p>
          <w:p>
            <w:pPr>
              <w:spacing w:line="288" w:lineRule="auto"/>
              <w:rPr>
                <w:rFonts w:ascii="宋体" w:hAnsi="宋体"/>
                <w:b/>
                <w:bCs/>
                <w:sz w:val="21"/>
                <w:szCs w:val="21"/>
              </w:rPr>
            </w:pPr>
            <w:r>
              <w:rPr>
                <w:rFonts w:hint="eastAsia" w:ascii="宋体" w:hAnsi="宋体"/>
                <w:b/>
                <w:bCs/>
                <w:sz w:val="21"/>
                <w:szCs w:val="21"/>
              </w:rPr>
              <w:t>八、移动展示模块</w:t>
            </w:r>
          </w:p>
          <w:p>
            <w:pPr>
              <w:spacing w:line="288" w:lineRule="auto"/>
              <w:ind w:firstLine="420" w:firstLineChars="200"/>
              <w:rPr>
                <w:rFonts w:ascii="宋体" w:hAnsi="宋体"/>
                <w:sz w:val="21"/>
                <w:szCs w:val="21"/>
              </w:rPr>
            </w:pPr>
            <w:r>
              <w:rPr>
                <w:rFonts w:hint="eastAsia" w:ascii="宋体" w:hAnsi="宋体"/>
                <w:sz w:val="21"/>
                <w:szCs w:val="21"/>
              </w:rPr>
              <w:t>1.支持iPhone、iPad和Android系统的移动终端。</w:t>
            </w:r>
          </w:p>
          <w:p>
            <w:pPr>
              <w:spacing w:line="288" w:lineRule="auto"/>
              <w:ind w:firstLine="420" w:firstLineChars="200"/>
              <w:rPr>
                <w:rFonts w:ascii="宋体" w:hAnsi="宋体"/>
                <w:sz w:val="21"/>
                <w:szCs w:val="21"/>
              </w:rPr>
            </w:pPr>
            <w:r>
              <w:rPr>
                <w:rFonts w:hint="eastAsia" w:ascii="宋体" w:hAnsi="宋体"/>
                <w:sz w:val="21"/>
                <w:szCs w:val="21"/>
              </w:rPr>
              <w:t>2.移动端支持分页预览、填报预览、数据分析三种报表查看模式。</w:t>
            </w:r>
          </w:p>
          <w:p>
            <w:pPr>
              <w:spacing w:line="288" w:lineRule="auto"/>
              <w:ind w:firstLine="420" w:firstLineChars="200"/>
              <w:rPr>
                <w:rFonts w:ascii="宋体" w:hAnsi="宋体"/>
                <w:sz w:val="21"/>
                <w:szCs w:val="21"/>
              </w:rPr>
            </w:pPr>
            <w:r>
              <w:rPr>
                <w:rFonts w:hint="eastAsia" w:ascii="宋体" w:hAnsi="宋体"/>
                <w:sz w:val="21"/>
                <w:szCs w:val="21"/>
              </w:rPr>
              <w:t>3.</w:t>
            </w:r>
          </w:p>
          <w:p>
            <w:pPr>
              <w:spacing w:line="288" w:lineRule="auto"/>
              <w:ind w:firstLine="420" w:firstLineChars="200"/>
              <w:rPr>
                <w:rFonts w:ascii="宋体" w:hAnsi="宋体"/>
                <w:sz w:val="21"/>
                <w:szCs w:val="21"/>
              </w:rPr>
            </w:pPr>
            <w:r>
              <w:rPr>
                <w:rFonts w:hint="eastAsia" w:ascii="宋体" w:hAnsi="宋体"/>
                <w:sz w:val="21"/>
                <w:szCs w:val="21"/>
              </w:rPr>
              <w:t>4.移动端支持图表动态展示的效果、数据点提示、图例、图表联动、地图钻取、图表多个交互（可以链接到多个页面）的菜单、图表分类轴缩放和坐标轴提示等功能。</w:t>
            </w:r>
          </w:p>
          <w:p>
            <w:pPr>
              <w:spacing w:line="288" w:lineRule="auto"/>
              <w:ind w:firstLine="420" w:firstLineChars="200"/>
              <w:rPr>
                <w:rFonts w:ascii="宋体" w:hAnsi="宋体"/>
                <w:sz w:val="21"/>
                <w:szCs w:val="21"/>
              </w:rPr>
            </w:pPr>
            <w:r>
              <w:rPr>
                <w:rFonts w:hint="eastAsia" w:ascii="宋体" w:hAnsi="宋体"/>
                <w:sz w:val="21"/>
                <w:szCs w:val="21"/>
              </w:rPr>
              <w:t>5.移动端支持报表的自适应展示，支持放大和缩小浏览。</w:t>
            </w:r>
          </w:p>
          <w:p>
            <w:pPr>
              <w:spacing w:line="288" w:lineRule="auto"/>
              <w:ind w:firstLine="420" w:firstLineChars="200"/>
              <w:rPr>
                <w:rFonts w:ascii="宋体" w:hAnsi="宋体"/>
                <w:sz w:val="21"/>
                <w:szCs w:val="21"/>
              </w:rPr>
            </w:pPr>
            <w:r>
              <w:rPr>
                <w:rFonts w:hint="eastAsia" w:ascii="宋体" w:hAnsi="宋体"/>
                <w:sz w:val="21"/>
                <w:szCs w:val="21"/>
              </w:rPr>
              <w:t>6.移动端支持数据填报表、参数查询页面。</w:t>
            </w:r>
          </w:p>
          <w:p>
            <w:pPr>
              <w:spacing w:line="288" w:lineRule="auto"/>
              <w:ind w:firstLine="420" w:firstLineChars="200"/>
              <w:rPr>
                <w:rFonts w:ascii="宋体" w:hAnsi="宋体"/>
                <w:sz w:val="21"/>
                <w:szCs w:val="21"/>
              </w:rPr>
            </w:pPr>
            <w:r>
              <w:rPr>
                <w:rFonts w:hint="eastAsia" w:ascii="宋体" w:hAnsi="宋体"/>
                <w:sz w:val="21"/>
                <w:szCs w:val="21"/>
              </w:rPr>
              <w:t>7.移动端支持图表的手势化操作。</w:t>
            </w:r>
          </w:p>
          <w:p>
            <w:pPr>
              <w:spacing w:line="288" w:lineRule="auto"/>
              <w:rPr>
                <w:rFonts w:ascii="宋体" w:hAnsi="宋体"/>
                <w:b/>
                <w:bCs/>
                <w:sz w:val="21"/>
                <w:szCs w:val="21"/>
              </w:rPr>
            </w:pPr>
            <w:r>
              <w:rPr>
                <w:rFonts w:hint="eastAsia" w:ascii="宋体" w:hAnsi="宋体"/>
                <w:b/>
                <w:bCs/>
                <w:sz w:val="21"/>
                <w:szCs w:val="21"/>
              </w:rPr>
              <w:t>九、B/S设计报表模块</w:t>
            </w:r>
          </w:p>
          <w:p>
            <w:pPr>
              <w:spacing w:line="288" w:lineRule="auto"/>
              <w:ind w:firstLine="420" w:firstLineChars="200"/>
              <w:rPr>
                <w:rFonts w:ascii="宋体" w:hAnsi="宋体"/>
                <w:sz w:val="21"/>
                <w:szCs w:val="21"/>
              </w:rPr>
            </w:pPr>
            <w:r>
              <w:rPr>
                <w:rFonts w:hint="eastAsia" w:ascii="宋体" w:hAnsi="宋体"/>
                <w:sz w:val="21"/>
                <w:szCs w:val="21"/>
              </w:rPr>
              <w:t>1.支持在B/S端简单拖拽目标数据及相关维度，从而得到从不同维度分析的结果。</w:t>
            </w:r>
          </w:p>
          <w:p>
            <w:pPr>
              <w:spacing w:line="288" w:lineRule="auto"/>
              <w:ind w:firstLine="420" w:firstLineChars="200"/>
              <w:rPr>
                <w:rFonts w:ascii="宋体" w:hAnsi="宋体"/>
                <w:sz w:val="21"/>
                <w:szCs w:val="21"/>
              </w:rPr>
            </w:pPr>
            <w:r>
              <w:rPr>
                <w:rFonts w:hint="eastAsia" w:ascii="宋体" w:hAnsi="宋体"/>
                <w:sz w:val="21"/>
                <w:szCs w:val="21"/>
              </w:rPr>
              <w:t>2.支持在B/S端调整、设计报表的样式，且能进行报表的自由切换。</w:t>
            </w:r>
          </w:p>
          <w:p>
            <w:pPr>
              <w:spacing w:line="288" w:lineRule="auto"/>
              <w:ind w:firstLine="420" w:firstLineChars="200"/>
              <w:rPr>
                <w:rFonts w:ascii="宋体" w:hAnsi="宋体"/>
                <w:sz w:val="21"/>
                <w:szCs w:val="21"/>
              </w:rPr>
            </w:pPr>
            <w:r>
              <w:rPr>
                <w:rFonts w:hint="eastAsia" w:ascii="宋体" w:hAnsi="宋体"/>
                <w:sz w:val="21"/>
                <w:szCs w:val="21"/>
              </w:rPr>
              <w:t>3.支持在页面上直接进行排序、自定义分组、数据筛选等二次分析。</w:t>
            </w:r>
          </w:p>
          <w:p>
            <w:pPr>
              <w:spacing w:line="288" w:lineRule="auto"/>
              <w:ind w:firstLine="420" w:firstLineChars="200"/>
              <w:rPr>
                <w:rFonts w:ascii="宋体" w:hAnsi="宋体"/>
                <w:sz w:val="21"/>
                <w:szCs w:val="21"/>
              </w:rPr>
            </w:pPr>
            <w:r>
              <w:rPr>
                <w:rFonts w:hint="eastAsia" w:ascii="宋体" w:hAnsi="宋体"/>
                <w:sz w:val="21"/>
                <w:szCs w:val="21"/>
              </w:rPr>
              <w:t>4.支持增强的图表分析功能，即无需任何额外设置，轻松一点即可自动创建图表分析模块。</w:t>
            </w:r>
          </w:p>
          <w:p>
            <w:pPr>
              <w:spacing w:line="288" w:lineRule="auto"/>
              <w:rPr>
                <w:rFonts w:ascii="宋体" w:hAnsi="宋体"/>
                <w:b/>
                <w:bCs/>
                <w:sz w:val="21"/>
                <w:szCs w:val="21"/>
              </w:rPr>
            </w:pPr>
            <w:r>
              <w:rPr>
                <w:rFonts w:hint="eastAsia" w:ascii="宋体" w:hAnsi="宋体"/>
                <w:b/>
                <w:bCs/>
                <w:sz w:val="21"/>
                <w:szCs w:val="21"/>
              </w:rPr>
              <w:t>十、报表管理平台</w:t>
            </w:r>
          </w:p>
          <w:p>
            <w:pPr>
              <w:spacing w:line="288" w:lineRule="auto"/>
              <w:ind w:firstLine="420" w:firstLineChars="200"/>
              <w:rPr>
                <w:rFonts w:ascii="宋体" w:hAnsi="宋体"/>
                <w:sz w:val="21"/>
                <w:szCs w:val="21"/>
              </w:rPr>
            </w:pPr>
            <w:r>
              <w:rPr>
                <w:rFonts w:hint="eastAsia" w:ascii="宋体" w:hAnsi="宋体"/>
                <w:sz w:val="21"/>
                <w:szCs w:val="21"/>
              </w:rPr>
              <w:t>1.提供报表管理平台，可以通过该平台有效管理报表，支持用户、机构和模板的权限管理功能。</w:t>
            </w:r>
          </w:p>
          <w:p>
            <w:pPr>
              <w:spacing w:line="288" w:lineRule="auto"/>
              <w:ind w:firstLine="420" w:firstLineChars="200"/>
              <w:rPr>
                <w:rFonts w:ascii="宋体" w:hAnsi="宋体"/>
                <w:sz w:val="21"/>
                <w:szCs w:val="21"/>
              </w:rPr>
            </w:pPr>
            <w:r>
              <w:rPr>
                <w:rFonts w:hint="eastAsia" w:ascii="宋体" w:hAnsi="宋体"/>
                <w:sz w:val="21"/>
                <w:szCs w:val="21"/>
              </w:rPr>
              <w:t>2.支持邮件服务器设置，即通过配置邮件服务器可以给客户发送报表内容。</w:t>
            </w:r>
          </w:p>
          <w:p>
            <w:pPr>
              <w:spacing w:line="288" w:lineRule="auto"/>
              <w:ind w:firstLine="420" w:firstLineChars="200"/>
              <w:rPr>
                <w:rFonts w:ascii="宋体" w:hAnsi="宋体"/>
                <w:sz w:val="21"/>
                <w:szCs w:val="21"/>
              </w:rPr>
            </w:pPr>
            <w:r>
              <w:rPr>
                <w:rFonts w:hint="eastAsia" w:ascii="宋体" w:hAnsi="宋体"/>
                <w:sz w:val="21"/>
                <w:szCs w:val="21"/>
              </w:rPr>
              <w:t>3.提供系统在线人数统计、报表访问次数和方式的数据监控功能。</w:t>
            </w:r>
          </w:p>
          <w:p>
            <w:pPr>
              <w:spacing w:line="288" w:lineRule="auto"/>
              <w:ind w:firstLine="420" w:firstLineChars="200"/>
              <w:rPr>
                <w:rFonts w:ascii="宋体" w:hAnsi="宋体"/>
                <w:sz w:val="21"/>
                <w:szCs w:val="21"/>
              </w:rPr>
            </w:pPr>
            <w:r>
              <w:rPr>
                <w:rFonts w:hint="eastAsia" w:ascii="宋体" w:hAnsi="宋体"/>
                <w:sz w:val="21"/>
                <w:szCs w:val="21"/>
              </w:rPr>
              <w:t>4.支持用户对平台进行自定义设置，可以设置登录界面、平台标题、平台主页、平台横幅和背景等。</w:t>
            </w:r>
          </w:p>
          <w:p>
            <w:pPr>
              <w:spacing w:line="288" w:lineRule="auto"/>
              <w:ind w:firstLine="420" w:firstLineChars="200"/>
              <w:rPr>
                <w:rFonts w:ascii="宋体" w:hAnsi="宋体"/>
                <w:sz w:val="21"/>
                <w:szCs w:val="21"/>
              </w:rPr>
            </w:pPr>
            <w:r>
              <w:rPr>
                <w:rFonts w:hint="eastAsia" w:ascii="宋体" w:hAnsi="宋体"/>
                <w:sz w:val="21"/>
                <w:szCs w:val="21"/>
              </w:rPr>
              <w:t>5.提供报表收藏夹功能，支持将经常使用的报表放在收藏夹中。</w:t>
            </w:r>
          </w:p>
          <w:p>
            <w:pPr>
              <w:spacing w:line="288" w:lineRule="auto"/>
              <w:rPr>
                <w:rFonts w:ascii="宋体" w:hAnsi="宋体"/>
                <w:b/>
                <w:bCs/>
                <w:sz w:val="21"/>
                <w:szCs w:val="21"/>
              </w:rPr>
            </w:pPr>
            <w:r>
              <w:rPr>
                <w:rFonts w:hint="eastAsia" w:ascii="宋体" w:hAnsi="宋体"/>
                <w:b/>
                <w:bCs/>
                <w:sz w:val="21"/>
                <w:szCs w:val="21"/>
              </w:rPr>
              <w:t>十一、权限控制模块</w:t>
            </w:r>
          </w:p>
          <w:p>
            <w:pPr>
              <w:spacing w:line="288" w:lineRule="auto"/>
              <w:ind w:firstLine="420" w:firstLineChars="200"/>
              <w:rPr>
                <w:rFonts w:ascii="宋体" w:hAnsi="宋体"/>
                <w:sz w:val="21"/>
                <w:szCs w:val="21"/>
              </w:rPr>
            </w:pPr>
            <w:r>
              <w:rPr>
                <w:rFonts w:hint="eastAsia" w:ascii="宋体" w:hAnsi="宋体"/>
                <w:sz w:val="21"/>
                <w:szCs w:val="21"/>
              </w:rPr>
              <w:t>1.权限认证方式，支持多种身份认证，基于平台内部用户密码认证、LDAP认证、HTTP认证等。</w:t>
            </w:r>
          </w:p>
          <w:p>
            <w:pPr>
              <w:spacing w:line="288" w:lineRule="auto"/>
              <w:ind w:firstLine="420" w:firstLineChars="200"/>
              <w:rPr>
                <w:rFonts w:ascii="宋体" w:hAnsi="宋体"/>
                <w:sz w:val="21"/>
                <w:szCs w:val="21"/>
              </w:rPr>
            </w:pPr>
            <w:r>
              <w:rPr>
                <w:rFonts w:hint="eastAsia" w:ascii="宋体" w:hAnsi="宋体"/>
                <w:sz w:val="21"/>
                <w:szCs w:val="21"/>
              </w:rPr>
              <w:t>2.权限粗粒度控制（模板访问控制），基于角色、职务、用户等多种方式进行访问控制。</w:t>
            </w:r>
          </w:p>
          <w:p>
            <w:pPr>
              <w:spacing w:line="288" w:lineRule="auto"/>
              <w:ind w:firstLine="420" w:firstLineChars="200"/>
              <w:rPr>
                <w:rFonts w:ascii="宋体" w:hAnsi="宋体"/>
                <w:sz w:val="21"/>
                <w:szCs w:val="21"/>
              </w:rPr>
            </w:pPr>
            <w:r>
              <w:rPr>
                <w:rFonts w:hint="eastAsia" w:ascii="宋体" w:hAnsi="宋体"/>
                <w:sz w:val="21"/>
                <w:szCs w:val="21"/>
              </w:rPr>
              <w:t>3.多级授权，支持部门管理员对本部门用户进行二次授权。</w:t>
            </w:r>
          </w:p>
          <w:p>
            <w:pPr>
              <w:spacing w:line="288" w:lineRule="auto"/>
              <w:ind w:firstLine="420" w:firstLineChars="200"/>
              <w:rPr>
                <w:rFonts w:ascii="宋体" w:hAnsi="宋体"/>
                <w:sz w:val="21"/>
                <w:szCs w:val="21"/>
              </w:rPr>
            </w:pPr>
            <w:r>
              <w:rPr>
                <w:rFonts w:hint="eastAsia" w:ascii="宋体" w:hAnsi="宋体"/>
                <w:sz w:val="21"/>
                <w:szCs w:val="21"/>
              </w:rPr>
              <w:t>4.权限细粒度控制(模板内容控制)，对单元格内容数据、控件、隐藏行列、工具栏、sheet、表单等，不同的角色用户登录系统，看到的、操作的报表内容不一样。</w:t>
            </w:r>
          </w:p>
          <w:p>
            <w:pPr>
              <w:spacing w:line="288" w:lineRule="auto"/>
              <w:rPr>
                <w:rFonts w:ascii="宋体" w:hAnsi="宋体"/>
                <w:b/>
                <w:bCs/>
                <w:sz w:val="21"/>
                <w:szCs w:val="21"/>
              </w:rPr>
            </w:pPr>
            <w:r>
              <w:rPr>
                <w:rFonts w:hint="eastAsia" w:ascii="宋体" w:hAnsi="宋体"/>
                <w:b/>
                <w:bCs/>
                <w:sz w:val="21"/>
                <w:szCs w:val="21"/>
              </w:rPr>
              <w:t>十二、集成部署和二次开发模块</w:t>
            </w:r>
          </w:p>
          <w:p>
            <w:pPr>
              <w:spacing w:line="288" w:lineRule="auto"/>
              <w:ind w:firstLine="420" w:firstLineChars="200"/>
              <w:rPr>
                <w:rFonts w:ascii="宋体" w:hAnsi="宋体"/>
                <w:sz w:val="21"/>
                <w:szCs w:val="21"/>
              </w:rPr>
            </w:pPr>
            <w:r>
              <w:rPr>
                <w:rFonts w:hint="eastAsia" w:ascii="宋体" w:hAnsi="宋体"/>
                <w:sz w:val="21"/>
                <w:szCs w:val="21"/>
              </w:rPr>
              <w:t>1.支持将报表作为一个独立的应用或者讲报表集成到自己的项目中进行部署。</w:t>
            </w:r>
          </w:p>
          <w:p>
            <w:pPr>
              <w:spacing w:line="288" w:lineRule="auto"/>
              <w:ind w:firstLine="420" w:firstLineChars="200"/>
              <w:rPr>
                <w:rFonts w:ascii="宋体" w:hAnsi="宋体"/>
                <w:sz w:val="21"/>
                <w:szCs w:val="21"/>
              </w:rPr>
            </w:pPr>
            <w:r>
              <w:rPr>
                <w:rFonts w:hint="eastAsia" w:ascii="宋体" w:hAnsi="宋体"/>
                <w:sz w:val="21"/>
                <w:szCs w:val="21"/>
              </w:rPr>
              <w:t>2.支持直接进行iframe页面集成，iframe框架大小能够根据报表页面的内容自动调整高度或宽度。</w:t>
            </w:r>
          </w:p>
          <w:p>
            <w:pPr>
              <w:spacing w:line="288" w:lineRule="auto"/>
              <w:ind w:firstLine="420" w:firstLineChars="200"/>
              <w:rPr>
                <w:rFonts w:ascii="宋体" w:hAnsi="宋体"/>
                <w:sz w:val="21"/>
                <w:szCs w:val="21"/>
              </w:rPr>
            </w:pPr>
            <w:r>
              <w:rPr>
                <w:rFonts w:hint="eastAsia" w:ascii="宋体" w:hAnsi="宋体"/>
                <w:sz w:val="21"/>
                <w:szCs w:val="21"/>
              </w:rPr>
              <w:t>3.支持使用网页脚本、API接口等对报表工具进行深入的开发与控制，以满足其个性化的需求</w:t>
            </w:r>
          </w:p>
          <w:p>
            <w:pPr>
              <w:spacing w:line="288" w:lineRule="auto"/>
              <w:ind w:firstLine="420" w:firstLineChars="200"/>
              <w:rPr>
                <w:rFonts w:ascii="宋体" w:hAnsi="宋体"/>
                <w:sz w:val="21"/>
                <w:szCs w:val="21"/>
              </w:rPr>
            </w:pPr>
            <w:r>
              <w:rPr>
                <w:rFonts w:hint="eastAsia" w:ascii="宋体" w:hAnsi="宋体"/>
                <w:sz w:val="21"/>
                <w:szCs w:val="21"/>
              </w:rPr>
              <w:t>4.支持在分页预览，填报预览，数据分析时进行web页面事件的编辑，其中web页面事件包括加载起始，加载结束，pdf导出前后，excel导出前后，word导出前后，图片导出前后，pdf打印前后，flash打印前后，applet打印前后等。</w:t>
            </w:r>
          </w:p>
          <w:p>
            <w:pPr>
              <w:spacing w:line="288" w:lineRule="auto"/>
              <w:ind w:firstLine="420" w:firstLineChars="200"/>
              <w:rPr>
                <w:rFonts w:ascii="宋体" w:hAnsi="宋体"/>
                <w:sz w:val="21"/>
                <w:szCs w:val="21"/>
              </w:rPr>
            </w:pPr>
            <w:r>
              <w:rPr>
                <w:rFonts w:hint="eastAsia" w:ascii="宋体" w:hAnsi="宋体"/>
                <w:sz w:val="21"/>
                <w:szCs w:val="21"/>
              </w:rPr>
              <w:t>5.支持根据事件响应时间的不同，把控件的事件分为八种情况：编辑前、编辑后、编辑结束、点击、初始化后、状态改变、值改变及回调。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Align w:val="center"/>
          </w:tcPr>
          <w:p>
            <w:pPr>
              <w:spacing w:line="288" w:lineRule="auto"/>
              <w:jc w:val="center"/>
              <w:rPr>
                <w:rFonts w:ascii="宋体" w:hAnsi="宋体"/>
                <w:sz w:val="21"/>
                <w:szCs w:val="21"/>
              </w:rPr>
            </w:pPr>
            <w:r>
              <w:rPr>
                <w:rFonts w:hint="eastAsia" w:ascii="宋体" w:hAnsi="宋体"/>
                <w:sz w:val="21"/>
                <w:szCs w:val="21"/>
              </w:rPr>
              <w:t>2</w:t>
            </w:r>
          </w:p>
        </w:tc>
        <w:tc>
          <w:tcPr>
            <w:tcW w:w="1512" w:type="dxa"/>
            <w:vAlign w:val="center"/>
          </w:tcPr>
          <w:p>
            <w:pPr>
              <w:spacing w:line="288" w:lineRule="auto"/>
              <w:jc w:val="center"/>
              <w:rPr>
                <w:rFonts w:ascii="宋体" w:hAnsi="宋体"/>
                <w:sz w:val="21"/>
                <w:szCs w:val="21"/>
              </w:rPr>
            </w:pPr>
            <w:r>
              <w:rPr>
                <w:rFonts w:hint="eastAsia" w:ascii="宋体" w:hAnsi="宋体"/>
                <w:sz w:val="21"/>
                <w:szCs w:val="21"/>
              </w:rPr>
              <w:t>综合数据应用平台</w:t>
            </w:r>
          </w:p>
        </w:tc>
        <w:tc>
          <w:tcPr>
            <w:tcW w:w="838" w:type="dxa"/>
            <w:vAlign w:val="center"/>
          </w:tcPr>
          <w:p>
            <w:pPr>
              <w:spacing w:line="288" w:lineRule="auto"/>
              <w:jc w:val="center"/>
              <w:rPr>
                <w:rFonts w:ascii="宋体" w:hAnsi="宋体"/>
                <w:sz w:val="21"/>
                <w:szCs w:val="21"/>
              </w:rPr>
            </w:pPr>
            <w:r>
              <w:rPr>
                <w:rFonts w:hint="eastAsia" w:ascii="宋体" w:hAnsi="宋体"/>
                <w:sz w:val="21"/>
                <w:szCs w:val="21"/>
              </w:rPr>
              <w:t>1套</w:t>
            </w:r>
          </w:p>
        </w:tc>
        <w:tc>
          <w:tcPr>
            <w:tcW w:w="6505" w:type="dxa"/>
            <w:vAlign w:val="center"/>
          </w:tcPr>
          <w:p>
            <w:pPr>
              <w:spacing w:line="288" w:lineRule="auto"/>
              <w:ind w:firstLine="422" w:firstLineChars="200"/>
              <w:rPr>
                <w:rFonts w:ascii="宋体" w:hAnsi="宋体"/>
                <w:b/>
                <w:bCs/>
                <w:sz w:val="21"/>
                <w:szCs w:val="21"/>
              </w:rPr>
            </w:pPr>
            <w:r>
              <w:rPr>
                <w:rFonts w:hint="eastAsia" w:ascii="宋体" w:hAnsi="宋体"/>
                <w:b/>
                <w:bCs/>
                <w:sz w:val="21"/>
                <w:szCs w:val="21"/>
              </w:rPr>
              <w:t>综合数据应用平台要求基于所采购的报表软件平台二次开发，并整合在同一平台实现。</w:t>
            </w:r>
          </w:p>
          <w:p>
            <w:pPr>
              <w:spacing w:line="288" w:lineRule="auto"/>
              <w:rPr>
                <w:rFonts w:ascii="宋体" w:hAnsi="宋体"/>
                <w:b/>
                <w:bCs/>
                <w:sz w:val="21"/>
                <w:szCs w:val="21"/>
              </w:rPr>
            </w:pPr>
            <w:r>
              <w:rPr>
                <w:rFonts w:hint="eastAsia" w:ascii="宋体" w:hAnsi="宋体"/>
                <w:b/>
                <w:bCs/>
                <w:sz w:val="21"/>
                <w:szCs w:val="21"/>
              </w:rPr>
              <w:t>一、数据质量监测</w:t>
            </w:r>
          </w:p>
          <w:p>
            <w:pPr>
              <w:spacing w:line="288" w:lineRule="auto"/>
              <w:ind w:firstLine="420" w:firstLineChars="200"/>
              <w:rPr>
                <w:rFonts w:ascii="宋体" w:hAnsi="宋体"/>
                <w:sz w:val="21"/>
                <w:szCs w:val="21"/>
              </w:rPr>
            </w:pPr>
            <w:r>
              <w:rPr>
                <w:rFonts w:hint="eastAsia" w:ascii="宋体" w:hAnsi="宋体"/>
                <w:sz w:val="21"/>
                <w:szCs w:val="21"/>
              </w:rPr>
              <w:t>1、数据质量分析：对学校数据中心各类数据子类进行数据质量分析。</w:t>
            </w:r>
          </w:p>
          <w:p>
            <w:pPr>
              <w:spacing w:line="288" w:lineRule="auto"/>
              <w:ind w:firstLine="420" w:firstLineChars="200"/>
              <w:rPr>
                <w:rFonts w:ascii="宋体" w:hAnsi="宋体"/>
                <w:sz w:val="21"/>
                <w:szCs w:val="21"/>
              </w:rPr>
            </w:pPr>
            <w:r>
              <w:rPr>
                <w:rFonts w:hint="eastAsia" w:ascii="宋体" w:hAnsi="宋体"/>
                <w:sz w:val="21"/>
                <w:szCs w:val="21"/>
              </w:rPr>
              <w:t>主要根据以下几个方面进行分析：</w:t>
            </w:r>
          </w:p>
          <w:p>
            <w:pPr>
              <w:spacing w:line="288" w:lineRule="auto"/>
              <w:ind w:firstLine="420" w:firstLineChars="200"/>
              <w:rPr>
                <w:rFonts w:ascii="宋体" w:hAnsi="宋体"/>
                <w:sz w:val="21"/>
                <w:szCs w:val="21"/>
              </w:rPr>
            </w:pPr>
            <w:r>
              <w:rPr>
                <w:rFonts w:hint="eastAsia" w:ascii="宋体" w:hAnsi="宋体"/>
                <w:sz w:val="21"/>
                <w:szCs w:val="21"/>
              </w:rPr>
              <w:t>完整性：完整性用于度量哪些数据丢失了或者哪些数据不可用。</w:t>
            </w:r>
          </w:p>
          <w:p>
            <w:pPr>
              <w:spacing w:line="288" w:lineRule="auto"/>
              <w:ind w:firstLine="420" w:firstLineChars="200"/>
              <w:rPr>
                <w:rFonts w:ascii="宋体" w:hAnsi="宋体"/>
                <w:sz w:val="21"/>
                <w:szCs w:val="21"/>
              </w:rPr>
            </w:pPr>
            <w:r>
              <w:rPr>
                <w:rFonts w:hint="eastAsia" w:ascii="宋体" w:hAnsi="宋体"/>
                <w:sz w:val="21"/>
                <w:szCs w:val="21"/>
              </w:rPr>
              <w:t>规范性：规范性用于度量哪些数据未按统一格式存储。</w:t>
            </w:r>
          </w:p>
          <w:p>
            <w:pPr>
              <w:spacing w:line="288" w:lineRule="auto"/>
              <w:ind w:firstLine="420" w:firstLineChars="200"/>
              <w:rPr>
                <w:rFonts w:ascii="宋体" w:hAnsi="宋体"/>
                <w:sz w:val="21"/>
                <w:szCs w:val="21"/>
              </w:rPr>
            </w:pPr>
            <w:r>
              <w:rPr>
                <w:rFonts w:hint="eastAsia" w:ascii="宋体" w:hAnsi="宋体"/>
                <w:sz w:val="21"/>
                <w:szCs w:val="21"/>
              </w:rPr>
              <w:t>一致性：一致性用于度量哪些数据的值在信息含义上是冲突的。</w:t>
            </w:r>
          </w:p>
          <w:p>
            <w:pPr>
              <w:spacing w:line="288" w:lineRule="auto"/>
              <w:ind w:firstLine="420" w:firstLineChars="200"/>
              <w:rPr>
                <w:rFonts w:ascii="宋体" w:hAnsi="宋体"/>
                <w:sz w:val="21"/>
                <w:szCs w:val="21"/>
              </w:rPr>
            </w:pPr>
            <w:r>
              <w:rPr>
                <w:rFonts w:hint="eastAsia" w:ascii="宋体" w:hAnsi="宋体"/>
                <w:sz w:val="21"/>
                <w:szCs w:val="21"/>
              </w:rPr>
              <w:t>准确性：准确性用于度量哪些数据和信息是不正确的，或者数据是超期的。</w:t>
            </w:r>
          </w:p>
          <w:p>
            <w:pPr>
              <w:spacing w:line="288" w:lineRule="auto"/>
              <w:ind w:firstLine="420" w:firstLineChars="200"/>
              <w:rPr>
                <w:rFonts w:ascii="宋体" w:hAnsi="宋体"/>
                <w:sz w:val="21"/>
                <w:szCs w:val="21"/>
              </w:rPr>
            </w:pPr>
            <w:r>
              <w:rPr>
                <w:rFonts w:hint="eastAsia" w:ascii="宋体" w:hAnsi="宋体"/>
                <w:sz w:val="21"/>
                <w:szCs w:val="21"/>
              </w:rPr>
              <w:t>唯一性：唯一性用于度量哪些数据是重复数据或者数据的哪些属性是重复的。</w:t>
            </w:r>
          </w:p>
          <w:p>
            <w:pPr>
              <w:spacing w:line="288" w:lineRule="auto"/>
              <w:ind w:firstLine="420" w:firstLineChars="200"/>
              <w:rPr>
                <w:rFonts w:ascii="宋体" w:hAnsi="宋体"/>
                <w:sz w:val="21"/>
                <w:szCs w:val="21"/>
              </w:rPr>
            </w:pPr>
            <w:r>
              <w:rPr>
                <w:rFonts w:hint="eastAsia" w:ascii="宋体" w:hAnsi="宋体"/>
                <w:sz w:val="21"/>
                <w:szCs w:val="21"/>
              </w:rPr>
              <w:t>关联性：关联性用于度量哪些关联的数据缺失或者未建立索引。</w:t>
            </w:r>
          </w:p>
          <w:p>
            <w:pPr>
              <w:spacing w:line="288" w:lineRule="auto"/>
              <w:ind w:firstLine="420" w:firstLineChars="200"/>
              <w:rPr>
                <w:rFonts w:ascii="宋体" w:hAnsi="宋体"/>
                <w:sz w:val="21"/>
                <w:szCs w:val="21"/>
              </w:rPr>
            </w:pPr>
            <w:r>
              <w:rPr>
                <w:rFonts w:hint="eastAsia" w:ascii="宋体" w:hAnsi="宋体"/>
                <w:sz w:val="21"/>
                <w:szCs w:val="21"/>
              </w:rPr>
              <w:t>2、数据质量预警：根据数据质量分析对各业务系统或业务管理员进行邮件预警，提醒数据质量问题，对源头数据及时变更。</w:t>
            </w:r>
          </w:p>
          <w:p>
            <w:pPr>
              <w:spacing w:line="288" w:lineRule="auto"/>
              <w:ind w:firstLine="420" w:firstLineChars="200"/>
              <w:rPr>
                <w:rFonts w:ascii="宋体" w:hAnsi="宋体"/>
                <w:sz w:val="21"/>
                <w:szCs w:val="21"/>
              </w:rPr>
            </w:pPr>
            <w:r>
              <w:rPr>
                <w:rFonts w:hint="eastAsia" w:ascii="宋体" w:hAnsi="宋体"/>
                <w:sz w:val="21"/>
                <w:szCs w:val="21"/>
              </w:rPr>
              <w:t>业务系统共享数据监测：监测师生数据在各业务系统中是否统一，监测数据交换平台的交换稳定性，保证各业务系统的数据统一，如发现数据不统一，及时邮件提示管理员。</w:t>
            </w:r>
          </w:p>
          <w:p>
            <w:pPr>
              <w:spacing w:line="288" w:lineRule="auto"/>
              <w:rPr>
                <w:rFonts w:ascii="宋体" w:hAnsi="宋体"/>
                <w:b/>
                <w:bCs/>
                <w:sz w:val="21"/>
                <w:szCs w:val="21"/>
              </w:rPr>
            </w:pPr>
            <w:r>
              <w:rPr>
                <w:rFonts w:hint="eastAsia" w:ascii="宋体" w:hAnsi="宋体"/>
                <w:b/>
                <w:bCs/>
                <w:sz w:val="21"/>
                <w:szCs w:val="21"/>
              </w:rPr>
              <w:t>二、综合数据分析、挖掘</w:t>
            </w:r>
          </w:p>
          <w:p>
            <w:pPr>
              <w:spacing w:line="288" w:lineRule="auto"/>
              <w:ind w:firstLine="420" w:firstLineChars="200"/>
              <w:rPr>
                <w:rFonts w:ascii="宋体" w:hAnsi="宋体"/>
                <w:sz w:val="21"/>
                <w:szCs w:val="21"/>
              </w:rPr>
            </w:pPr>
            <w:r>
              <w:rPr>
                <w:rFonts w:hint="eastAsia" w:ascii="宋体" w:hAnsi="宋体"/>
                <w:sz w:val="21"/>
                <w:szCs w:val="21"/>
              </w:rPr>
              <w:t>综合数据分析、挖掘要求根据用户的不同角色和权限在数据分析门户上以表格、图形的形式查询统计和分析如下信息，展示数据范围包括学校现有数据中心数据、业务系统数据、机器数据等。具体字段内容和统计分析方式需要根据学校业务部门实际业务需求进行细化。</w:t>
            </w:r>
          </w:p>
          <w:p>
            <w:pPr>
              <w:spacing w:line="288" w:lineRule="auto"/>
              <w:ind w:firstLine="420" w:firstLineChars="200"/>
              <w:rPr>
                <w:rFonts w:ascii="宋体" w:hAnsi="宋体"/>
                <w:sz w:val="21"/>
                <w:szCs w:val="21"/>
              </w:rPr>
            </w:pPr>
            <w:r>
              <w:rPr>
                <w:rFonts w:hint="eastAsia" w:ascii="宋体" w:hAnsi="宋体"/>
                <w:sz w:val="21"/>
                <w:szCs w:val="21"/>
              </w:rPr>
              <w:t>1、基础数据分析：</w:t>
            </w:r>
          </w:p>
          <w:p>
            <w:pPr>
              <w:spacing w:line="288" w:lineRule="auto"/>
              <w:ind w:firstLine="420" w:firstLineChars="200"/>
              <w:rPr>
                <w:rFonts w:ascii="宋体" w:hAnsi="宋体"/>
                <w:sz w:val="21"/>
                <w:szCs w:val="21"/>
              </w:rPr>
            </w:pPr>
            <w:r>
              <w:rPr>
                <w:rFonts w:hint="eastAsia" w:ascii="宋体" w:hAnsi="宋体"/>
                <w:sz w:val="21"/>
                <w:szCs w:val="21"/>
              </w:rPr>
              <w:t>教职工基本信息（性别、年龄、工龄、学历学位、政治面貌、民族、职称职位、编制等）、各类人才项目、教职工奖惩、年度考核、教学业绩、参加竞赛、科研业绩、相关职称职级身份变动信息、进修学习（访学）、师资培训、岗位聘任信息、各级学术组织任职信息、离退休人员信息、聘任外籍专家人数、运动场馆预约活动信息、教师个人工资酬金,一卡通消费等相关信息分析。</w:t>
            </w:r>
          </w:p>
          <w:p>
            <w:pPr>
              <w:spacing w:line="288" w:lineRule="auto"/>
              <w:ind w:firstLine="420" w:firstLineChars="200"/>
              <w:rPr>
                <w:rFonts w:ascii="宋体" w:hAnsi="宋体"/>
                <w:sz w:val="21"/>
                <w:szCs w:val="21"/>
              </w:rPr>
            </w:pPr>
            <w:r>
              <w:rPr>
                <w:rFonts w:hint="eastAsia" w:ascii="宋体" w:hAnsi="宋体"/>
                <w:sz w:val="21"/>
                <w:szCs w:val="21"/>
              </w:rPr>
              <w:t>学生信息：招生录取信息，学籍注册信息、在校人数、休退学人数，就业信息，住宿情况，助学贷款、补助发放信息，学籍信息、学籍异动情况，学习成绩信息，参加竞赛、奖惩信息、奖学金信息，学生满意度，学生科研成果（学位论文、学术论文、专利、课竞赛获奖等）、学生体质锻炼信息、学生一卡通消费信息、图书借阅、学生缴费、欠费信息、成绩信息等相关信息分析。</w:t>
            </w:r>
          </w:p>
          <w:p>
            <w:pPr>
              <w:spacing w:line="288" w:lineRule="auto"/>
              <w:ind w:firstLine="420" w:firstLineChars="200"/>
              <w:rPr>
                <w:rFonts w:ascii="宋体" w:hAnsi="宋体"/>
                <w:sz w:val="21"/>
                <w:szCs w:val="21"/>
              </w:rPr>
            </w:pPr>
            <w:r>
              <w:rPr>
                <w:rFonts w:hint="eastAsia" w:ascii="宋体" w:hAnsi="宋体"/>
                <w:sz w:val="21"/>
                <w:szCs w:val="21"/>
              </w:rPr>
              <w:t>2、多维数据展示和分析：</w:t>
            </w:r>
          </w:p>
          <w:p>
            <w:pPr>
              <w:spacing w:line="288" w:lineRule="auto"/>
              <w:ind w:firstLine="420" w:firstLineChars="200"/>
              <w:rPr>
                <w:rFonts w:ascii="宋体" w:hAnsi="宋体"/>
                <w:sz w:val="21"/>
                <w:szCs w:val="21"/>
              </w:rPr>
            </w:pPr>
            <w:r>
              <w:rPr>
                <w:rFonts w:hint="eastAsia" w:ascii="宋体" w:hAnsi="宋体"/>
                <w:sz w:val="21"/>
                <w:szCs w:val="21"/>
              </w:rPr>
              <w:t>为学校进行跨业务系统、多维度的综合数据分析创造了条件。本次项目要求完成与教师、学生、教学、科研、招生、迎新、离校、资产、一卡通、图书、后勤等数据相关的综合分析功能，具体需求以学校实际需求为准。</w:t>
            </w:r>
          </w:p>
          <w:p>
            <w:pPr>
              <w:spacing w:line="288" w:lineRule="auto"/>
              <w:ind w:firstLine="420" w:firstLineChars="200"/>
              <w:rPr>
                <w:rFonts w:ascii="宋体" w:hAnsi="宋体"/>
                <w:sz w:val="21"/>
                <w:szCs w:val="21"/>
              </w:rPr>
            </w:pPr>
            <w:r>
              <w:rPr>
                <w:rFonts w:hint="eastAsia" w:ascii="宋体" w:hAnsi="宋体"/>
                <w:sz w:val="21"/>
                <w:szCs w:val="21"/>
              </w:rPr>
              <w:t>教师（分职称、学历）给学生上课课时量统计；</w:t>
            </w:r>
          </w:p>
          <w:p>
            <w:pPr>
              <w:spacing w:line="288" w:lineRule="auto"/>
              <w:ind w:firstLine="420" w:firstLineChars="200"/>
              <w:rPr>
                <w:rFonts w:ascii="宋体" w:hAnsi="宋体"/>
                <w:sz w:val="21"/>
                <w:szCs w:val="21"/>
              </w:rPr>
            </w:pPr>
            <w:r>
              <w:rPr>
                <w:rFonts w:hint="eastAsia" w:ascii="宋体" w:hAnsi="宋体"/>
                <w:sz w:val="21"/>
                <w:szCs w:val="21"/>
              </w:rPr>
              <w:t>引进人才（教师）授课、科研等贡献绩效分析；</w:t>
            </w:r>
          </w:p>
          <w:p>
            <w:pPr>
              <w:spacing w:line="288" w:lineRule="auto"/>
              <w:ind w:firstLine="420" w:firstLineChars="200"/>
              <w:rPr>
                <w:rFonts w:ascii="宋体" w:hAnsi="宋体"/>
                <w:sz w:val="21"/>
                <w:szCs w:val="21"/>
              </w:rPr>
            </w:pPr>
            <w:r>
              <w:rPr>
                <w:rFonts w:hint="eastAsia" w:ascii="宋体" w:hAnsi="宋体"/>
                <w:sz w:val="21"/>
                <w:szCs w:val="21"/>
              </w:rPr>
              <w:t>不同院系、不同职称、学历教师的科研项目统计分析；</w:t>
            </w:r>
          </w:p>
          <w:p>
            <w:pPr>
              <w:spacing w:line="288" w:lineRule="auto"/>
              <w:ind w:firstLine="420" w:firstLineChars="200"/>
              <w:rPr>
                <w:rFonts w:ascii="宋体" w:hAnsi="宋体"/>
                <w:sz w:val="21"/>
                <w:szCs w:val="21"/>
              </w:rPr>
            </w:pPr>
            <w:r>
              <w:rPr>
                <w:rFonts w:hint="eastAsia" w:ascii="宋体" w:hAnsi="宋体"/>
                <w:sz w:val="21"/>
                <w:szCs w:val="21"/>
              </w:rPr>
              <w:t>教师来源（籍贯、毕业院校、专业等）统计分析；</w:t>
            </w:r>
          </w:p>
          <w:p>
            <w:pPr>
              <w:spacing w:line="288" w:lineRule="auto"/>
              <w:ind w:firstLine="420" w:firstLineChars="200"/>
              <w:rPr>
                <w:rFonts w:ascii="宋体" w:hAnsi="宋体"/>
                <w:sz w:val="21"/>
                <w:szCs w:val="21"/>
              </w:rPr>
            </w:pPr>
            <w:r>
              <w:rPr>
                <w:rFonts w:hint="eastAsia" w:ascii="宋体" w:hAnsi="宋体"/>
                <w:sz w:val="21"/>
                <w:szCs w:val="21"/>
              </w:rPr>
              <w:t>教师教学业绩分析；</w:t>
            </w:r>
          </w:p>
          <w:p>
            <w:pPr>
              <w:spacing w:line="288" w:lineRule="auto"/>
              <w:ind w:firstLine="420" w:firstLineChars="200"/>
              <w:rPr>
                <w:rFonts w:ascii="宋体" w:hAnsi="宋体"/>
                <w:sz w:val="21"/>
                <w:szCs w:val="21"/>
              </w:rPr>
            </w:pPr>
            <w:r>
              <w:rPr>
                <w:rFonts w:hint="eastAsia" w:ascii="宋体" w:hAnsi="宋体"/>
                <w:sz w:val="21"/>
                <w:szCs w:val="21"/>
              </w:rPr>
              <w:t>教师科研业绩分析；</w:t>
            </w:r>
          </w:p>
          <w:p>
            <w:pPr>
              <w:spacing w:line="288" w:lineRule="auto"/>
              <w:ind w:firstLine="420" w:firstLineChars="200"/>
              <w:rPr>
                <w:rFonts w:ascii="宋体" w:hAnsi="宋体"/>
                <w:sz w:val="21"/>
                <w:szCs w:val="21"/>
              </w:rPr>
            </w:pPr>
            <w:r>
              <w:rPr>
                <w:rFonts w:hint="eastAsia" w:ascii="宋体" w:hAnsi="宋体"/>
                <w:sz w:val="21"/>
                <w:szCs w:val="21"/>
              </w:rPr>
              <w:t>学生个人消费与班级、院系和全校平均数的对比；</w:t>
            </w:r>
          </w:p>
          <w:p>
            <w:pPr>
              <w:spacing w:line="288" w:lineRule="auto"/>
              <w:ind w:firstLine="420" w:firstLineChars="200"/>
              <w:rPr>
                <w:rFonts w:ascii="宋体" w:hAnsi="宋体"/>
                <w:sz w:val="21"/>
                <w:szCs w:val="21"/>
              </w:rPr>
            </w:pPr>
            <w:r>
              <w:rPr>
                <w:rFonts w:hint="eastAsia" w:ascii="宋体" w:hAnsi="宋体"/>
                <w:sz w:val="21"/>
                <w:szCs w:val="21"/>
              </w:rPr>
              <w:t>学生表现（获奖与受处分）与成绩的关联分析；</w:t>
            </w:r>
          </w:p>
          <w:p>
            <w:pPr>
              <w:spacing w:line="288" w:lineRule="auto"/>
              <w:ind w:firstLine="420" w:firstLineChars="200"/>
              <w:rPr>
                <w:rFonts w:ascii="宋体" w:hAnsi="宋体"/>
                <w:sz w:val="21"/>
                <w:szCs w:val="21"/>
              </w:rPr>
            </w:pPr>
            <w:r>
              <w:rPr>
                <w:rFonts w:hint="eastAsia" w:ascii="宋体" w:hAnsi="宋体"/>
                <w:sz w:val="21"/>
                <w:szCs w:val="21"/>
              </w:rPr>
              <w:t>学生消费水平与生源地的关联分析；</w:t>
            </w:r>
          </w:p>
          <w:p>
            <w:pPr>
              <w:spacing w:line="288" w:lineRule="auto"/>
              <w:ind w:firstLine="420" w:firstLineChars="200"/>
              <w:rPr>
                <w:rFonts w:ascii="宋体" w:hAnsi="宋体"/>
                <w:sz w:val="21"/>
                <w:szCs w:val="21"/>
              </w:rPr>
            </w:pPr>
            <w:r>
              <w:rPr>
                <w:rFonts w:hint="eastAsia" w:ascii="宋体" w:hAnsi="宋体"/>
                <w:sz w:val="21"/>
                <w:szCs w:val="21"/>
              </w:rPr>
              <w:t>学生获得奖助学贷的情况与成绩的关联分析；</w:t>
            </w:r>
          </w:p>
          <w:p>
            <w:pPr>
              <w:spacing w:line="288" w:lineRule="auto"/>
              <w:ind w:firstLine="420" w:firstLineChars="200"/>
              <w:rPr>
                <w:rFonts w:ascii="宋体" w:hAnsi="宋体"/>
                <w:sz w:val="21"/>
                <w:szCs w:val="21"/>
              </w:rPr>
            </w:pPr>
            <w:r>
              <w:rPr>
                <w:rFonts w:hint="eastAsia" w:ascii="宋体" w:hAnsi="宋体"/>
                <w:sz w:val="21"/>
                <w:szCs w:val="21"/>
              </w:rPr>
              <w:t>学生图书借阅情况与成绩的关联分析；</w:t>
            </w:r>
          </w:p>
          <w:p>
            <w:pPr>
              <w:spacing w:line="288" w:lineRule="auto"/>
              <w:ind w:firstLine="420" w:firstLineChars="200"/>
              <w:rPr>
                <w:rFonts w:ascii="宋体" w:hAnsi="宋体"/>
                <w:sz w:val="21"/>
                <w:szCs w:val="21"/>
              </w:rPr>
            </w:pPr>
            <w:r>
              <w:rPr>
                <w:rFonts w:hint="eastAsia" w:ascii="宋体" w:hAnsi="宋体"/>
                <w:sz w:val="21"/>
                <w:szCs w:val="21"/>
              </w:rPr>
              <w:t>一卡通学生行为分析预警；</w:t>
            </w:r>
          </w:p>
          <w:p>
            <w:pPr>
              <w:spacing w:line="288" w:lineRule="auto"/>
              <w:ind w:firstLine="420" w:firstLineChars="200"/>
              <w:rPr>
                <w:rFonts w:ascii="宋体" w:hAnsi="宋体"/>
                <w:sz w:val="21"/>
                <w:szCs w:val="21"/>
              </w:rPr>
            </w:pPr>
            <w:r>
              <w:rPr>
                <w:rFonts w:hint="eastAsia" w:ascii="宋体" w:hAnsi="宋体"/>
                <w:sz w:val="21"/>
                <w:szCs w:val="21"/>
              </w:rPr>
              <w:t>贫困生预警；</w:t>
            </w:r>
          </w:p>
          <w:p>
            <w:pPr>
              <w:spacing w:line="288" w:lineRule="auto"/>
              <w:ind w:firstLine="420" w:firstLineChars="200"/>
              <w:rPr>
                <w:rFonts w:ascii="宋体" w:hAnsi="宋体"/>
                <w:sz w:val="21"/>
                <w:szCs w:val="21"/>
              </w:rPr>
            </w:pPr>
            <w:r>
              <w:rPr>
                <w:rFonts w:hint="eastAsia" w:ascii="宋体" w:hAnsi="宋体"/>
                <w:sz w:val="21"/>
                <w:szCs w:val="21"/>
              </w:rPr>
              <w:t>食堂就餐峰值分析；</w:t>
            </w:r>
          </w:p>
          <w:p>
            <w:pPr>
              <w:spacing w:line="288" w:lineRule="auto"/>
              <w:ind w:firstLine="420" w:firstLineChars="200"/>
              <w:rPr>
                <w:rFonts w:ascii="宋体" w:hAnsi="宋体"/>
                <w:sz w:val="21"/>
                <w:szCs w:val="21"/>
              </w:rPr>
            </w:pPr>
            <w:r>
              <w:rPr>
                <w:rFonts w:hint="eastAsia" w:ascii="宋体" w:hAnsi="宋体"/>
                <w:sz w:val="21"/>
                <w:szCs w:val="21"/>
              </w:rPr>
              <w:t>招生数据分析；</w:t>
            </w:r>
          </w:p>
          <w:p>
            <w:pPr>
              <w:spacing w:line="288" w:lineRule="auto"/>
              <w:ind w:firstLine="420" w:firstLineChars="200"/>
              <w:rPr>
                <w:rFonts w:ascii="宋体" w:hAnsi="宋体"/>
                <w:sz w:val="21"/>
                <w:szCs w:val="21"/>
              </w:rPr>
            </w:pPr>
            <w:r>
              <w:rPr>
                <w:rFonts w:hint="eastAsia" w:ascii="宋体" w:hAnsi="宋体"/>
                <w:sz w:val="21"/>
                <w:szCs w:val="21"/>
              </w:rPr>
              <w:t>就业数据分析；</w:t>
            </w:r>
          </w:p>
          <w:p>
            <w:pPr>
              <w:spacing w:line="288" w:lineRule="auto"/>
              <w:ind w:firstLine="420" w:firstLineChars="200"/>
              <w:rPr>
                <w:rFonts w:ascii="宋体" w:hAnsi="宋体"/>
                <w:sz w:val="21"/>
                <w:szCs w:val="21"/>
              </w:rPr>
            </w:pPr>
            <w:r>
              <w:rPr>
                <w:rFonts w:hint="eastAsia" w:ascii="宋体" w:hAnsi="宋体"/>
                <w:sz w:val="21"/>
                <w:szCs w:val="21"/>
              </w:rPr>
              <w:t>财务数据分析（含学费收缴、项目支出、预算执行情况等分析）；</w:t>
            </w:r>
          </w:p>
          <w:p>
            <w:pPr>
              <w:spacing w:line="288" w:lineRule="auto"/>
              <w:ind w:firstLine="420" w:firstLineChars="200"/>
              <w:rPr>
                <w:rFonts w:ascii="宋体" w:hAnsi="宋体"/>
                <w:sz w:val="21"/>
                <w:szCs w:val="21"/>
              </w:rPr>
            </w:pPr>
            <w:r>
              <w:rPr>
                <w:rFonts w:hint="eastAsia" w:ascii="宋体" w:hAnsi="宋体"/>
                <w:sz w:val="21"/>
                <w:szCs w:val="21"/>
              </w:rPr>
              <w:t>学校房产、资产配备情况分析；</w:t>
            </w:r>
          </w:p>
          <w:p>
            <w:pPr>
              <w:spacing w:line="288" w:lineRule="auto"/>
              <w:ind w:firstLine="420" w:firstLineChars="200"/>
              <w:rPr>
                <w:rFonts w:ascii="宋体" w:hAnsi="宋体"/>
                <w:sz w:val="21"/>
                <w:szCs w:val="21"/>
              </w:rPr>
            </w:pPr>
            <w:r>
              <w:rPr>
                <w:rFonts w:hint="eastAsia" w:ascii="宋体" w:hAnsi="宋体"/>
                <w:sz w:val="21"/>
                <w:szCs w:val="21"/>
              </w:rPr>
              <w:t>其他校情信息：</w:t>
            </w:r>
          </w:p>
          <w:p>
            <w:pPr>
              <w:spacing w:line="288" w:lineRule="auto"/>
              <w:ind w:firstLine="420" w:firstLineChars="200"/>
              <w:rPr>
                <w:rFonts w:ascii="宋体" w:hAnsi="宋体"/>
                <w:sz w:val="21"/>
                <w:szCs w:val="21"/>
              </w:rPr>
            </w:pPr>
            <w:r>
              <w:rPr>
                <w:rFonts w:hint="eastAsia" w:ascii="宋体" w:hAnsi="宋体"/>
                <w:sz w:val="21"/>
                <w:szCs w:val="21"/>
              </w:rPr>
              <w:t>（1）办学基础条件查询</w:t>
            </w:r>
          </w:p>
          <w:p>
            <w:pPr>
              <w:spacing w:line="288" w:lineRule="auto"/>
              <w:ind w:firstLine="420" w:firstLineChars="200"/>
              <w:rPr>
                <w:rFonts w:ascii="宋体" w:hAnsi="宋体"/>
                <w:sz w:val="21"/>
                <w:szCs w:val="21"/>
              </w:rPr>
            </w:pPr>
            <w:r>
              <w:rPr>
                <w:rFonts w:hint="eastAsia" w:ascii="宋体" w:hAnsi="宋体"/>
                <w:sz w:val="21"/>
                <w:szCs w:val="21"/>
              </w:rPr>
              <w:t>学校占地面积：统计学校占地面积的总数，并按照使用类型和建筑用途进行各种占地面积的细分，可按照使用类型划分学校各个校区占地面积，如教学区占地面积、生活区占地面积等，并通过图形的方式展示。</w:t>
            </w:r>
          </w:p>
          <w:p>
            <w:pPr>
              <w:spacing w:line="288" w:lineRule="auto"/>
              <w:ind w:firstLine="630" w:firstLineChars="300"/>
              <w:rPr>
                <w:rFonts w:ascii="宋体" w:hAnsi="宋体"/>
                <w:sz w:val="21"/>
                <w:szCs w:val="21"/>
              </w:rPr>
            </w:pPr>
            <w:r>
              <w:rPr>
                <w:rFonts w:hint="eastAsia" w:ascii="宋体" w:hAnsi="宋体"/>
                <w:sz w:val="21"/>
                <w:szCs w:val="21"/>
              </w:rPr>
              <w:t>1）学校建筑面积：统计学校各种建筑的总建筑面积，并按照教学用房、生活用房、行政办公用房三个类别统计各类别建筑的具体建筑面积。</w:t>
            </w:r>
          </w:p>
          <w:p>
            <w:pPr>
              <w:spacing w:line="288" w:lineRule="auto"/>
              <w:ind w:firstLine="630" w:firstLineChars="300"/>
              <w:rPr>
                <w:rFonts w:ascii="宋体" w:hAnsi="宋体"/>
                <w:sz w:val="21"/>
                <w:szCs w:val="21"/>
              </w:rPr>
            </w:pPr>
            <w:r>
              <w:rPr>
                <w:rFonts w:hint="eastAsia" w:ascii="宋体" w:hAnsi="宋体"/>
                <w:sz w:val="21"/>
                <w:szCs w:val="21"/>
              </w:rPr>
              <w:t>2）建筑楼宇：统计学校的所有建筑楼宇的数量和用途。</w:t>
            </w:r>
          </w:p>
          <w:p>
            <w:pPr>
              <w:spacing w:line="288" w:lineRule="auto"/>
              <w:ind w:firstLine="630" w:firstLineChars="300"/>
              <w:rPr>
                <w:rFonts w:ascii="宋体" w:hAnsi="宋体"/>
                <w:sz w:val="21"/>
                <w:szCs w:val="21"/>
              </w:rPr>
            </w:pPr>
            <w:r>
              <w:rPr>
                <w:rFonts w:hint="eastAsia" w:ascii="宋体" w:hAnsi="宋体"/>
                <w:sz w:val="21"/>
                <w:szCs w:val="21"/>
              </w:rPr>
              <w:t>3）教学用房：统计学校教学用房的建筑面积，并按照教室、实验室、会馆等类别分类统计各种教学用房的具体建筑面积。</w:t>
            </w:r>
          </w:p>
          <w:p>
            <w:pPr>
              <w:spacing w:line="288" w:lineRule="auto"/>
              <w:ind w:firstLine="630" w:firstLineChars="300"/>
              <w:rPr>
                <w:rFonts w:ascii="宋体" w:hAnsi="宋体"/>
                <w:sz w:val="21"/>
                <w:szCs w:val="21"/>
              </w:rPr>
            </w:pPr>
            <w:r>
              <w:rPr>
                <w:rFonts w:hint="eastAsia" w:ascii="宋体" w:hAnsi="宋体"/>
                <w:sz w:val="21"/>
                <w:szCs w:val="21"/>
              </w:rPr>
              <w:t>4）生活用房：统计学校各种生活用房的建筑面积，并按照住宅、宿舍、生活及福利用房、食堂等类别分类统计各类生活用房的具体建筑面积。</w:t>
            </w:r>
          </w:p>
          <w:p>
            <w:pPr>
              <w:spacing w:line="288" w:lineRule="auto"/>
              <w:ind w:firstLine="630" w:firstLineChars="300"/>
              <w:rPr>
                <w:rFonts w:ascii="宋体" w:hAnsi="宋体"/>
                <w:sz w:val="21"/>
                <w:szCs w:val="21"/>
              </w:rPr>
            </w:pPr>
            <w:r>
              <w:rPr>
                <w:rFonts w:hint="eastAsia" w:ascii="宋体" w:hAnsi="宋体"/>
                <w:sz w:val="21"/>
                <w:szCs w:val="21"/>
              </w:rPr>
              <w:t>5）办公用房：可以统计学校各种行政办公用房的建筑面积，并按照全校办公房和院系办公房分类统计。</w:t>
            </w:r>
          </w:p>
          <w:p>
            <w:pPr>
              <w:spacing w:line="288" w:lineRule="auto"/>
              <w:ind w:firstLine="630" w:firstLineChars="300"/>
              <w:rPr>
                <w:rFonts w:ascii="宋体" w:hAnsi="宋体"/>
                <w:sz w:val="21"/>
                <w:szCs w:val="21"/>
              </w:rPr>
            </w:pPr>
            <w:r>
              <w:rPr>
                <w:rFonts w:hint="eastAsia" w:ascii="宋体" w:hAnsi="宋体"/>
                <w:sz w:val="21"/>
                <w:szCs w:val="21"/>
              </w:rPr>
              <w:t>6）教室：统计全校教室的数量，并按照教室的用途分类统计各种教室的具体数量。</w:t>
            </w:r>
          </w:p>
          <w:p>
            <w:pPr>
              <w:spacing w:line="288" w:lineRule="auto"/>
              <w:ind w:firstLine="630" w:firstLineChars="300"/>
              <w:rPr>
                <w:rFonts w:ascii="宋体" w:hAnsi="宋体"/>
                <w:sz w:val="21"/>
                <w:szCs w:val="21"/>
              </w:rPr>
            </w:pPr>
            <w:r>
              <w:rPr>
                <w:rFonts w:hint="eastAsia" w:ascii="宋体" w:hAnsi="宋体"/>
                <w:sz w:val="21"/>
                <w:szCs w:val="21"/>
              </w:rPr>
              <w:t>7）多功能教室：多功能教室是指多媒体教室、语音教室、计算机教室。该统计需要统计出学校多媒体教室、语音教室、计算机教室的教室数量和设备数量，并通过折合在校生数求得每百人拥有的多媒体教室座位数、语音教室座位数、计算机台数。</w:t>
            </w:r>
          </w:p>
          <w:p>
            <w:pPr>
              <w:spacing w:line="288" w:lineRule="auto"/>
              <w:ind w:firstLine="630" w:firstLineChars="300"/>
              <w:rPr>
                <w:rFonts w:ascii="宋体" w:hAnsi="宋体"/>
                <w:sz w:val="21"/>
                <w:szCs w:val="21"/>
              </w:rPr>
            </w:pPr>
            <w:r>
              <w:rPr>
                <w:rFonts w:hint="eastAsia" w:ascii="宋体" w:hAnsi="宋体"/>
                <w:sz w:val="21"/>
                <w:szCs w:val="21"/>
              </w:rPr>
              <w:t>8）实验室：统计学校实验室的总数，并按照基础实验室和专业实验室分类统计两种实验室的具体数量。</w:t>
            </w:r>
          </w:p>
          <w:p>
            <w:pPr>
              <w:spacing w:line="288" w:lineRule="auto"/>
              <w:ind w:firstLine="630" w:firstLineChars="300"/>
              <w:rPr>
                <w:rFonts w:ascii="宋体" w:hAnsi="宋体"/>
                <w:sz w:val="21"/>
                <w:szCs w:val="21"/>
              </w:rPr>
            </w:pPr>
            <w:r>
              <w:rPr>
                <w:rFonts w:hint="eastAsia" w:ascii="宋体" w:hAnsi="宋体"/>
                <w:sz w:val="21"/>
                <w:szCs w:val="21"/>
              </w:rPr>
              <w:t>9）校园网：全校的校园网建设状况。</w:t>
            </w:r>
          </w:p>
          <w:p>
            <w:pPr>
              <w:spacing w:line="288" w:lineRule="auto"/>
              <w:ind w:firstLine="630" w:firstLineChars="300"/>
              <w:rPr>
                <w:rFonts w:ascii="宋体" w:hAnsi="宋体"/>
                <w:sz w:val="21"/>
                <w:szCs w:val="21"/>
              </w:rPr>
            </w:pPr>
            <w:r>
              <w:rPr>
                <w:rFonts w:hint="eastAsia" w:ascii="宋体" w:hAnsi="宋体"/>
                <w:sz w:val="21"/>
                <w:szCs w:val="21"/>
              </w:rPr>
              <w:t>10）宿舍：统计学校宿舍的建筑面积，并按照学校产权和非学校产权分类统计两种宿舍的具体建筑面积，通过学生宿舍的总建筑面积除以全日制在校生数，得出生均宿舍面积。</w:t>
            </w:r>
          </w:p>
          <w:p>
            <w:pPr>
              <w:spacing w:line="288" w:lineRule="auto"/>
              <w:ind w:firstLine="630" w:firstLineChars="300"/>
              <w:rPr>
                <w:rFonts w:ascii="宋体" w:hAnsi="宋体"/>
                <w:sz w:val="21"/>
                <w:szCs w:val="21"/>
              </w:rPr>
            </w:pPr>
            <w:r>
              <w:rPr>
                <w:rFonts w:hint="eastAsia" w:ascii="宋体" w:hAnsi="宋体"/>
                <w:sz w:val="21"/>
                <w:szCs w:val="21"/>
              </w:rPr>
              <w:t>11）体育场所：统计体育场所的总数。</w:t>
            </w:r>
          </w:p>
          <w:p>
            <w:pPr>
              <w:spacing w:line="288" w:lineRule="auto"/>
              <w:ind w:firstLine="630" w:firstLineChars="300"/>
              <w:rPr>
                <w:rFonts w:ascii="宋体" w:hAnsi="宋体"/>
                <w:sz w:val="21"/>
                <w:szCs w:val="21"/>
              </w:rPr>
            </w:pPr>
            <w:r>
              <w:rPr>
                <w:rFonts w:hint="eastAsia" w:ascii="宋体" w:hAnsi="宋体"/>
                <w:sz w:val="21"/>
                <w:szCs w:val="21"/>
              </w:rPr>
              <w:t>12）图书馆、图书统计信息：统计图书馆面积、藏书量和藏书类别。</w:t>
            </w:r>
          </w:p>
          <w:p>
            <w:pPr>
              <w:spacing w:line="288" w:lineRule="auto"/>
              <w:ind w:firstLine="630" w:firstLineChars="300"/>
              <w:rPr>
                <w:rFonts w:ascii="宋体" w:hAnsi="宋体"/>
                <w:sz w:val="21"/>
                <w:szCs w:val="21"/>
              </w:rPr>
            </w:pPr>
            <w:r>
              <w:rPr>
                <w:rFonts w:hint="eastAsia" w:ascii="宋体" w:hAnsi="宋体"/>
                <w:sz w:val="21"/>
                <w:szCs w:val="21"/>
              </w:rPr>
              <w:t>13）教学仪器统计信息：统计学校的仪器总价值，仪器数量。</w:t>
            </w:r>
          </w:p>
          <w:p>
            <w:pPr>
              <w:spacing w:line="288" w:lineRule="auto"/>
              <w:ind w:firstLine="420" w:firstLineChars="200"/>
              <w:rPr>
                <w:rFonts w:ascii="宋体" w:hAnsi="宋体"/>
                <w:sz w:val="21"/>
                <w:szCs w:val="21"/>
              </w:rPr>
            </w:pPr>
            <w:r>
              <w:rPr>
                <w:rFonts w:hint="eastAsia" w:ascii="宋体" w:hAnsi="宋体"/>
                <w:sz w:val="21"/>
                <w:szCs w:val="21"/>
              </w:rPr>
              <w:t>（2）学校占地面积查询</w:t>
            </w:r>
          </w:p>
          <w:p>
            <w:pPr>
              <w:spacing w:line="288" w:lineRule="auto"/>
              <w:ind w:firstLine="420" w:firstLineChars="200"/>
              <w:rPr>
                <w:rFonts w:ascii="宋体" w:hAnsi="宋体"/>
                <w:sz w:val="21"/>
                <w:szCs w:val="21"/>
              </w:rPr>
            </w:pPr>
            <w:r>
              <w:rPr>
                <w:rFonts w:hint="eastAsia" w:ascii="宋体" w:hAnsi="宋体"/>
                <w:sz w:val="21"/>
                <w:szCs w:val="21"/>
              </w:rPr>
              <w:t>统计学校占地面积的总数，并按照使用类型和建筑用途进行各种占地面积的细分，可按照使用类型划分学校各个校区占地面积，如教学区占地面积、生活区占地面积等，并通过图形的方式展示。</w:t>
            </w:r>
          </w:p>
          <w:p>
            <w:pPr>
              <w:spacing w:line="288" w:lineRule="auto"/>
              <w:ind w:firstLine="420" w:firstLineChars="200"/>
              <w:rPr>
                <w:rFonts w:ascii="宋体" w:hAnsi="宋体"/>
                <w:sz w:val="21"/>
                <w:szCs w:val="21"/>
              </w:rPr>
            </w:pPr>
            <w:r>
              <w:rPr>
                <w:rFonts w:hint="eastAsia" w:ascii="宋体" w:hAnsi="宋体"/>
                <w:sz w:val="21"/>
                <w:szCs w:val="21"/>
              </w:rPr>
              <w:t>（3）师资队伍统计查询</w:t>
            </w:r>
          </w:p>
          <w:p>
            <w:pPr>
              <w:spacing w:line="288" w:lineRule="auto"/>
              <w:ind w:firstLine="420" w:firstLineChars="200"/>
              <w:rPr>
                <w:rFonts w:ascii="宋体" w:hAnsi="宋体"/>
                <w:sz w:val="21"/>
                <w:szCs w:val="21"/>
              </w:rPr>
            </w:pPr>
            <w:r>
              <w:rPr>
                <w:rFonts w:hint="eastAsia" w:ascii="宋体" w:hAnsi="宋体"/>
                <w:sz w:val="21"/>
                <w:szCs w:val="21"/>
              </w:rPr>
              <w:t>通过此功能，可以查询学校师资队伍的统计信息。主要包括师资队伍的职称级别构成、民族构成、性别比例、政治面貌构成；以及师资队伍的学历结构、学位结构、学缘结构、职称在不同年龄段的分布；不同类型师资队伍如专业带头人、骨干教师、学术梯队、青年教师等的情况。并可根据要求实现多条件综合查询功能。</w:t>
            </w:r>
          </w:p>
          <w:p>
            <w:pPr>
              <w:spacing w:line="288" w:lineRule="auto"/>
              <w:ind w:firstLine="630" w:firstLineChars="300"/>
              <w:rPr>
                <w:rFonts w:ascii="宋体" w:hAnsi="宋体"/>
                <w:sz w:val="21"/>
                <w:szCs w:val="21"/>
              </w:rPr>
            </w:pPr>
            <w:r>
              <w:rPr>
                <w:rFonts w:hint="eastAsia" w:ascii="宋体" w:hAnsi="宋体"/>
                <w:sz w:val="21"/>
                <w:szCs w:val="21"/>
              </w:rPr>
              <w:t>1）职称级别：统计学校各种职称级别和各种类别教职工的人数；表格横向分类为职称，纵向分类为教职工类别。</w:t>
            </w:r>
          </w:p>
          <w:p>
            <w:pPr>
              <w:spacing w:line="288" w:lineRule="auto"/>
              <w:ind w:firstLine="630" w:firstLineChars="300"/>
              <w:rPr>
                <w:rFonts w:ascii="宋体" w:hAnsi="宋体"/>
                <w:sz w:val="21"/>
                <w:szCs w:val="21"/>
              </w:rPr>
            </w:pPr>
            <w:r>
              <w:rPr>
                <w:rFonts w:hint="eastAsia" w:ascii="宋体" w:hAnsi="宋体"/>
                <w:sz w:val="21"/>
                <w:szCs w:val="21"/>
              </w:rPr>
              <w:t>2）职称、年龄段分布：统计全校各种职称级别的教职工年龄段信息。</w:t>
            </w:r>
          </w:p>
          <w:p>
            <w:pPr>
              <w:spacing w:line="288" w:lineRule="auto"/>
              <w:ind w:firstLine="630" w:firstLineChars="300"/>
              <w:rPr>
                <w:rFonts w:ascii="宋体" w:hAnsi="宋体"/>
                <w:sz w:val="21"/>
                <w:szCs w:val="21"/>
              </w:rPr>
            </w:pPr>
            <w:r>
              <w:rPr>
                <w:rFonts w:hint="eastAsia" w:ascii="宋体" w:hAnsi="宋体"/>
                <w:sz w:val="21"/>
                <w:szCs w:val="21"/>
              </w:rPr>
              <w:t>3）民族构成：统计学校各种类别教职工的民族成分，横向分类为教职工类别，纵向为民族成分。</w:t>
            </w:r>
          </w:p>
          <w:p>
            <w:pPr>
              <w:spacing w:line="288" w:lineRule="auto"/>
              <w:ind w:firstLine="630" w:firstLineChars="300"/>
              <w:rPr>
                <w:rFonts w:ascii="宋体" w:hAnsi="宋体"/>
                <w:sz w:val="21"/>
                <w:szCs w:val="21"/>
              </w:rPr>
            </w:pPr>
            <w:r>
              <w:rPr>
                <w:rFonts w:hint="eastAsia" w:ascii="宋体" w:hAnsi="宋体"/>
                <w:sz w:val="21"/>
                <w:szCs w:val="21"/>
              </w:rPr>
              <w:t>4）性别比例：统计学校各种类别的教职工性别比例，横向分类为教职工类别，纵向分类为性别。</w:t>
            </w:r>
          </w:p>
          <w:p>
            <w:pPr>
              <w:spacing w:line="288" w:lineRule="auto"/>
              <w:ind w:firstLine="630" w:firstLineChars="300"/>
              <w:rPr>
                <w:rFonts w:ascii="宋体" w:hAnsi="宋体"/>
                <w:sz w:val="21"/>
                <w:szCs w:val="21"/>
              </w:rPr>
            </w:pPr>
            <w:r>
              <w:rPr>
                <w:rFonts w:hint="eastAsia" w:ascii="宋体" w:hAnsi="宋体"/>
                <w:sz w:val="21"/>
                <w:szCs w:val="21"/>
              </w:rPr>
              <w:t>5）政治面貌：统计学校各种类别的教职工政治面貌比例，横向分类为教职工类别，纵向分类为政治面貌。</w:t>
            </w:r>
          </w:p>
          <w:p>
            <w:pPr>
              <w:spacing w:line="288" w:lineRule="auto"/>
              <w:ind w:firstLine="630" w:firstLineChars="300"/>
              <w:rPr>
                <w:rFonts w:ascii="宋体" w:hAnsi="宋体"/>
                <w:sz w:val="21"/>
                <w:szCs w:val="21"/>
              </w:rPr>
            </w:pPr>
            <w:r>
              <w:rPr>
                <w:rFonts w:hint="eastAsia" w:ascii="宋体" w:hAnsi="宋体"/>
                <w:sz w:val="21"/>
                <w:szCs w:val="21"/>
              </w:rPr>
              <w:t>6）学历结构：统计学校教职工的学历结构。横向分类为教职工类别，纵向为学历。</w:t>
            </w:r>
          </w:p>
          <w:p>
            <w:pPr>
              <w:spacing w:line="288" w:lineRule="auto"/>
              <w:ind w:firstLine="630" w:firstLineChars="300"/>
              <w:rPr>
                <w:rFonts w:ascii="宋体" w:hAnsi="宋体"/>
                <w:sz w:val="21"/>
                <w:szCs w:val="21"/>
              </w:rPr>
            </w:pPr>
            <w:r>
              <w:rPr>
                <w:rFonts w:hint="eastAsia" w:ascii="宋体" w:hAnsi="宋体"/>
                <w:sz w:val="21"/>
                <w:szCs w:val="21"/>
              </w:rPr>
              <w:t>7）学位结构：统计学校教职工的学位结构。横向分类为教职工类别，纵向为学位。</w:t>
            </w:r>
          </w:p>
          <w:p>
            <w:pPr>
              <w:spacing w:line="288" w:lineRule="auto"/>
              <w:ind w:firstLine="630" w:firstLineChars="300"/>
              <w:rPr>
                <w:rFonts w:ascii="宋体" w:hAnsi="宋体"/>
                <w:sz w:val="21"/>
                <w:szCs w:val="21"/>
              </w:rPr>
            </w:pPr>
            <w:r>
              <w:rPr>
                <w:rFonts w:hint="eastAsia" w:ascii="宋体" w:hAnsi="宋体"/>
                <w:sz w:val="21"/>
                <w:szCs w:val="21"/>
              </w:rPr>
              <w:t>8）学缘结构：统计全校教职工来源信息，按照校内毕业留校和校外毕业留校分类统计这两种教职工的数量和所占比例。</w:t>
            </w:r>
          </w:p>
          <w:p>
            <w:pPr>
              <w:spacing w:line="288" w:lineRule="auto"/>
              <w:ind w:firstLine="630" w:firstLineChars="300"/>
              <w:rPr>
                <w:rFonts w:ascii="宋体" w:hAnsi="宋体"/>
                <w:sz w:val="21"/>
                <w:szCs w:val="21"/>
              </w:rPr>
            </w:pPr>
            <w:r>
              <w:rPr>
                <w:rFonts w:hint="eastAsia" w:ascii="宋体" w:hAnsi="宋体"/>
                <w:sz w:val="21"/>
                <w:szCs w:val="21"/>
              </w:rPr>
              <w:t>9）专业带头人按照类别统计：统计学校各级别学科带头人的数量。</w:t>
            </w:r>
          </w:p>
          <w:p>
            <w:pPr>
              <w:spacing w:line="288" w:lineRule="auto"/>
              <w:ind w:firstLine="630" w:firstLineChars="300"/>
              <w:rPr>
                <w:rFonts w:ascii="宋体" w:hAnsi="宋体"/>
                <w:sz w:val="21"/>
                <w:szCs w:val="21"/>
              </w:rPr>
            </w:pPr>
            <w:r>
              <w:rPr>
                <w:rFonts w:hint="eastAsia" w:ascii="宋体" w:hAnsi="宋体"/>
                <w:sz w:val="21"/>
                <w:szCs w:val="21"/>
              </w:rPr>
              <w:t>10）骨干教师按照类别统计：统计学校各级别骨干教师的数量。</w:t>
            </w:r>
          </w:p>
          <w:p>
            <w:pPr>
              <w:spacing w:line="288" w:lineRule="auto"/>
              <w:ind w:firstLine="630" w:firstLineChars="300"/>
              <w:rPr>
                <w:rFonts w:ascii="宋体" w:hAnsi="宋体"/>
                <w:sz w:val="21"/>
                <w:szCs w:val="21"/>
              </w:rPr>
            </w:pPr>
            <w:r>
              <w:rPr>
                <w:rFonts w:hint="eastAsia" w:ascii="宋体" w:hAnsi="宋体"/>
                <w:sz w:val="21"/>
                <w:szCs w:val="21"/>
              </w:rPr>
              <w:t>11）学术梯队按照类别统计：统计学校各级别学术梯队教师的数量。</w:t>
            </w:r>
          </w:p>
          <w:p>
            <w:pPr>
              <w:spacing w:line="288" w:lineRule="auto"/>
              <w:ind w:firstLine="630" w:firstLineChars="300"/>
              <w:rPr>
                <w:rFonts w:ascii="宋体" w:hAnsi="宋体"/>
                <w:sz w:val="21"/>
                <w:szCs w:val="21"/>
              </w:rPr>
            </w:pPr>
            <w:r>
              <w:rPr>
                <w:rFonts w:hint="eastAsia" w:ascii="宋体" w:hAnsi="宋体"/>
                <w:sz w:val="21"/>
                <w:szCs w:val="21"/>
              </w:rPr>
              <w:t>12）青年教师学历、职称结构：统计35 岁以下青年教师的学位和职称。横向分类为学历，纵向分类为职称。</w:t>
            </w:r>
          </w:p>
          <w:p>
            <w:pPr>
              <w:spacing w:line="288" w:lineRule="auto"/>
              <w:ind w:firstLine="630" w:firstLineChars="300"/>
              <w:rPr>
                <w:rFonts w:ascii="宋体" w:hAnsi="宋体"/>
                <w:sz w:val="21"/>
                <w:szCs w:val="21"/>
              </w:rPr>
            </w:pPr>
            <w:r>
              <w:rPr>
                <w:rFonts w:hint="eastAsia" w:ascii="宋体" w:hAnsi="宋体"/>
                <w:sz w:val="21"/>
                <w:szCs w:val="21"/>
              </w:rPr>
              <w:t>13）符合任课教师资格的任课教师百分比：统计全校任课教师中，符合资格的教师占任课教师的比例。符合资格的任课教师是指：主讲教师具有讲师及以上职务或具有硕士及以上学位，通过岗前培训并取得合格证的教师。</w:t>
            </w:r>
          </w:p>
          <w:p>
            <w:pPr>
              <w:spacing w:line="288" w:lineRule="auto"/>
              <w:ind w:firstLine="630" w:firstLineChars="300"/>
              <w:rPr>
                <w:rFonts w:ascii="宋体" w:hAnsi="宋体"/>
                <w:sz w:val="21"/>
                <w:szCs w:val="21"/>
              </w:rPr>
            </w:pPr>
            <w:r>
              <w:rPr>
                <w:rFonts w:hint="eastAsia" w:ascii="宋体" w:hAnsi="宋体"/>
                <w:sz w:val="21"/>
                <w:szCs w:val="21"/>
              </w:rPr>
              <w:t>14）外聘教师、兼职教师信息等；</w:t>
            </w:r>
          </w:p>
          <w:p>
            <w:pPr>
              <w:spacing w:line="288" w:lineRule="auto"/>
              <w:ind w:firstLine="630" w:firstLineChars="300"/>
              <w:rPr>
                <w:rFonts w:ascii="宋体" w:hAnsi="宋体"/>
                <w:sz w:val="21"/>
                <w:szCs w:val="21"/>
              </w:rPr>
            </w:pPr>
            <w:r>
              <w:rPr>
                <w:rFonts w:hint="eastAsia" w:ascii="宋体" w:hAnsi="宋体"/>
                <w:sz w:val="21"/>
                <w:szCs w:val="21"/>
              </w:rPr>
              <w:t>15)历年引进的教职工信息统计：可以分别按照职称/学历/学位等进行统计。</w:t>
            </w:r>
          </w:p>
          <w:p>
            <w:pPr>
              <w:spacing w:line="288" w:lineRule="auto"/>
              <w:ind w:firstLine="420" w:firstLineChars="200"/>
              <w:rPr>
                <w:rFonts w:ascii="宋体" w:hAnsi="宋体"/>
                <w:sz w:val="21"/>
                <w:szCs w:val="21"/>
              </w:rPr>
            </w:pPr>
            <w:r>
              <w:rPr>
                <w:rFonts w:hint="eastAsia" w:ascii="宋体" w:hAnsi="宋体"/>
                <w:sz w:val="21"/>
                <w:szCs w:val="21"/>
              </w:rPr>
              <w:t>（4）学生情况统计查询</w:t>
            </w:r>
          </w:p>
          <w:p>
            <w:pPr>
              <w:spacing w:line="288" w:lineRule="auto"/>
              <w:ind w:firstLine="420" w:firstLineChars="200"/>
              <w:rPr>
                <w:rFonts w:ascii="宋体" w:hAnsi="宋体"/>
                <w:sz w:val="21"/>
                <w:szCs w:val="21"/>
              </w:rPr>
            </w:pPr>
            <w:r>
              <w:rPr>
                <w:rFonts w:hint="eastAsia" w:ascii="宋体" w:hAnsi="宋体"/>
                <w:sz w:val="21"/>
                <w:szCs w:val="21"/>
              </w:rPr>
              <w:t>通过此功能，可以查询学校学生的统计信息。并可根据要求实现多条件综合查询功能。</w:t>
            </w:r>
          </w:p>
          <w:p>
            <w:pPr>
              <w:spacing w:line="288" w:lineRule="auto"/>
              <w:ind w:firstLine="630" w:firstLineChars="300"/>
              <w:rPr>
                <w:rFonts w:ascii="宋体" w:hAnsi="宋体"/>
                <w:sz w:val="21"/>
                <w:szCs w:val="21"/>
              </w:rPr>
            </w:pPr>
            <w:r>
              <w:rPr>
                <w:rFonts w:hint="eastAsia" w:ascii="宋体" w:hAnsi="宋体"/>
                <w:sz w:val="21"/>
                <w:szCs w:val="21"/>
              </w:rPr>
              <w:t>1）学生总数：统计学校各种学生的实际总数，并按照性别和院系、专业等分类统计。</w:t>
            </w:r>
          </w:p>
          <w:p>
            <w:pPr>
              <w:spacing w:line="288" w:lineRule="auto"/>
              <w:ind w:firstLine="630" w:firstLineChars="300"/>
              <w:rPr>
                <w:rFonts w:ascii="宋体" w:hAnsi="宋体"/>
                <w:sz w:val="21"/>
                <w:szCs w:val="21"/>
              </w:rPr>
            </w:pPr>
            <w:r>
              <w:rPr>
                <w:rFonts w:hint="eastAsia" w:ascii="宋体" w:hAnsi="宋体"/>
                <w:sz w:val="21"/>
                <w:szCs w:val="21"/>
              </w:rPr>
              <w:t>2）学生折合数：统计学校各种层次的学生的数量，按照上级规定的相关规则，计算出学校折合在校生和全日制在校生的数量。</w:t>
            </w:r>
          </w:p>
          <w:p>
            <w:pPr>
              <w:spacing w:line="288" w:lineRule="auto"/>
              <w:ind w:firstLine="630" w:firstLineChars="300"/>
              <w:rPr>
                <w:rFonts w:ascii="宋体" w:hAnsi="宋体"/>
                <w:sz w:val="21"/>
                <w:szCs w:val="21"/>
              </w:rPr>
            </w:pPr>
            <w:r>
              <w:rPr>
                <w:rFonts w:hint="eastAsia" w:ascii="宋体" w:hAnsi="宋体"/>
                <w:sz w:val="21"/>
                <w:szCs w:val="21"/>
              </w:rPr>
              <w:t>3）民族分布：统计学校学生的民族分布。</w:t>
            </w:r>
          </w:p>
          <w:p>
            <w:pPr>
              <w:spacing w:line="288" w:lineRule="auto"/>
              <w:ind w:firstLine="630" w:firstLineChars="300"/>
              <w:rPr>
                <w:rFonts w:ascii="宋体" w:hAnsi="宋体"/>
                <w:sz w:val="21"/>
                <w:szCs w:val="21"/>
              </w:rPr>
            </w:pPr>
            <w:r>
              <w:rPr>
                <w:rFonts w:hint="eastAsia" w:ascii="宋体" w:hAnsi="宋体"/>
                <w:sz w:val="21"/>
                <w:szCs w:val="21"/>
              </w:rPr>
              <w:t>4）政治面貌：统计学校学生的政治面貌。</w:t>
            </w:r>
          </w:p>
          <w:p>
            <w:pPr>
              <w:spacing w:line="288" w:lineRule="auto"/>
              <w:ind w:firstLine="630" w:firstLineChars="300"/>
              <w:rPr>
                <w:rFonts w:ascii="宋体" w:hAnsi="宋体"/>
                <w:sz w:val="21"/>
                <w:szCs w:val="21"/>
              </w:rPr>
            </w:pPr>
            <w:r>
              <w:rPr>
                <w:rFonts w:hint="eastAsia" w:ascii="宋体" w:hAnsi="宋体"/>
                <w:sz w:val="21"/>
                <w:szCs w:val="21"/>
              </w:rPr>
              <w:t>5）生源分布：可按照学校招生时学生的生源地，统计出各省、自治区、直辖市的学生在各个学校的分布情况，提供全校的整体统计图标和各个学校的横向统计图表。</w:t>
            </w:r>
          </w:p>
          <w:p>
            <w:pPr>
              <w:spacing w:line="288" w:lineRule="auto"/>
              <w:ind w:firstLine="630" w:firstLineChars="300"/>
              <w:rPr>
                <w:rFonts w:ascii="宋体" w:hAnsi="宋体"/>
                <w:sz w:val="21"/>
                <w:szCs w:val="21"/>
              </w:rPr>
            </w:pPr>
            <w:r>
              <w:rPr>
                <w:rFonts w:hint="eastAsia" w:ascii="宋体" w:hAnsi="宋体"/>
                <w:sz w:val="21"/>
                <w:szCs w:val="21"/>
              </w:rPr>
              <w:t>6）高考成绩：按照学校招生时学生的高考成绩的等级，统计出各省、各个学校招收的学生的高考成绩情况。</w:t>
            </w:r>
          </w:p>
          <w:p>
            <w:pPr>
              <w:spacing w:line="288" w:lineRule="auto"/>
              <w:ind w:firstLine="630" w:firstLineChars="300"/>
              <w:rPr>
                <w:rFonts w:ascii="宋体" w:hAnsi="宋体"/>
                <w:sz w:val="21"/>
                <w:szCs w:val="21"/>
              </w:rPr>
            </w:pPr>
            <w:r>
              <w:rPr>
                <w:rFonts w:hint="eastAsia" w:ascii="宋体" w:hAnsi="宋体"/>
                <w:sz w:val="21"/>
                <w:szCs w:val="21"/>
              </w:rPr>
              <w:t>7）奖学金和助学贷款学生分布：统计全校各个学校每学年学生获得奖学金金额总数，获奖人数的横向统计。</w:t>
            </w:r>
          </w:p>
          <w:p>
            <w:pPr>
              <w:spacing w:line="288" w:lineRule="auto"/>
              <w:ind w:firstLine="630" w:firstLineChars="300"/>
              <w:rPr>
                <w:rFonts w:ascii="宋体" w:hAnsi="宋体"/>
                <w:sz w:val="21"/>
                <w:szCs w:val="21"/>
              </w:rPr>
            </w:pPr>
            <w:r>
              <w:rPr>
                <w:rFonts w:hint="eastAsia" w:ascii="宋体" w:hAnsi="宋体"/>
                <w:sz w:val="21"/>
                <w:szCs w:val="21"/>
              </w:rPr>
              <w:t>8）就业率：统计分析出全校总的就业人数，就业率，就业地域，就业单位性质的饼状图，并提供各个学校的横向统计图。</w:t>
            </w:r>
          </w:p>
          <w:p>
            <w:pPr>
              <w:spacing w:line="288" w:lineRule="auto"/>
              <w:ind w:firstLine="420" w:firstLineChars="200"/>
              <w:rPr>
                <w:rFonts w:ascii="宋体" w:hAnsi="宋体"/>
                <w:sz w:val="21"/>
                <w:szCs w:val="21"/>
              </w:rPr>
            </w:pPr>
            <w:r>
              <w:rPr>
                <w:rFonts w:hint="eastAsia" w:ascii="宋体" w:hAnsi="宋体"/>
                <w:sz w:val="21"/>
                <w:szCs w:val="21"/>
              </w:rPr>
              <w:t>（5）教学科研成果查询</w:t>
            </w:r>
          </w:p>
          <w:p>
            <w:pPr>
              <w:spacing w:line="288" w:lineRule="auto"/>
              <w:ind w:firstLine="630" w:firstLineChars="300"/>
              <w:rPr>
                <w:rFonts w:ascii="宋体" w:hAnsi="宋体"/>
                <w:sz w:val="21"/>
                <w:szCs w:val="21"/>
              </w:rPr>
            </w:pPr>
            <w:r>
              <w:rPr>
                <w:rFonts w:hint="eastAsia" w:ascii="宋体" w:hAnsi="宋体"/>
                <w:sz w:val="21"/>
                <w:szCs w:val="21"/>
              </w:rPr>
              <w:t>1）科研机构：列表显示全校科研机构基本信息。</w:t>
            </w:r>
          </w:p>
          <w:p>
            <w:pPr>
              <w:spacing w:line="288" w:lineRule="auto"/>
              <w:ind w:firstLine="630" w:firstLineChars="300"/>
              <w:rPr>
                <w:rFonts w:ascii="宋体" w:hAnsi="宋体"/>
                <w:sz w:val="21"/>
                <w:szCs w:val="21"/>
              </w:rPr>
            </w:pPr>
            <w:r>
              <w:rPr>
                <w:rFonts w:hint="eastAsia" w:ascii="宋体" w:hAnsi="宋体"/>
                <w:sz w:val="21"/>
                <w:szCs w:val="21"/>
              </w:rPr>
              <w:t>2）科研项目：列表显示全校各个院系和科研机构承担的科研项目信息。</w:t>
            </w:r>
          </w:p>
          <w:p>
            <w:pPr>
              <w:spacing w:line="288" w:lineRule="auto"/>
              <w:ind w:firstLine="630" w:firstLineChars="300"/>
              <w:rPr>
                <w:rFonts w:ascii="宋体" w:hAnsi="宋体"/>
                <w:sz w:val="21"/>
                <w:szCs w:val="21"/>
              </w:rPr>
            </w:pPr>
            <w:r>
              <w:rPr>
                <w:rFonts w:hint="eastAsia" w:ascii="宋体" w:hAnsi="宋体"/>
                <w:sz w:val="21"/>
                <w:szCs w:val="21"/>
              </w:rPr>
              <w:t>3）科研经费：统计显示全校当年的科研经费总数，各个院系和科研机构申请的科研经费及负责人。</w:t>
            </w:r>
          </w:p>
          <w:p>
            <w:pPr>
              <w:spacing w:line="288" w:lineRule="auto"/>
              <w:ind w:firstLine="630" w:firstLineChars="300"/>
              <w:rPr>
                <w:rFonts w:ascii="宋体" w:hAnsi="宋体"/>
                <w:sz w:val="21"/>
                <w:szCs w:val="21"/>
              </w:rPr>
            </w:pPr>
            <w:r>
              <w:rPr>
                <w:rFonts w:hint="eastAsia" w:ascii="宋体" w:hAnsi="宋体"/>
                <w:sz w:val="21"/>
                <w:szCs w:val="21"/>
              </w:rPr>
              <w:t>4）获奖成果：列表显示当年获奖成果的基本信息。</w:t>
            </w:r>
          </w:p>
          <w:p>
            <w:pPr>
              <w:spacing w:line="288" w:lineRule="auto"/>
              <w:ind w:firstLine="630" w:firstLineChars="300"/>
              <w:rPr>
                <w:rFonts w:ascii="宋体" w:hAnsi="宋体"/>
                <w:sz w:val="21"/>
                <w:szCs w:val="21"/>
              </w:rPr>
            </w:pPr>
            <w:r>
              <w:rPr>
                <w:rFonts w:hint="eastAsia" w:ascii="宋体" w:hAnsi="宋体"/>
                <w:sz w:val="21"/>
                <w:szCs w:val="21"/>
              </w:rPr>
              <w:t>5）学术论文：统计学校各个单位和科研机构当年发布的论文数量。</w:t>
            </w:r>
          </w:p>
          <w:p>
            <w:pPr>
              <w:spacing w:line="288" w:lineRule="auto"/>
              <w:ind w:firstLine="630" w:firstLineChars="300"/>
              <w:rPr>
                <w:rFonts w:ascii="宋体" w:hAnsi="宋体"/>
                <w:sz w:val="21"/>
                <w:szCs w:val="21"/>
              </w:rPr>
            </w:pPr>
            <w:r>
              <w:rPr>
                <w:rFonts w:hint="eastAsia" w:ascii="宋体" w:hAnsi="宋体"/>
                <w:sz w:val="21"/>
                <w:szCs w:val="21"/>
              </w:rPr>
              <w:t>6）学术交流：列表显示全校当年参加的学术交流会议基本信息。</w:t>
            </w:r>
          </w:p>
          <w:p>
            <w:pPr>
              <w:spacing w:line="288" w:lineRule="auto"/>
              <w:ind w:firstLine="630" w:firstLineChars="300"/>
              <w:rPr>
                <w:rFonts w:ascii="宋体" w:hAnsi="宋体"/>
                <w:sz w:val="21"/>
                <w:szCs w:val="21"/>
              </w:rPr>
            </w:pPr>
            <w:r>
              <w:rPr>
                <w:rFonts w:hint="eastAsia" w:ascii="宋体" w:hAnsi="宋体"/>
                <w:sz w:val="21"/>
                <w:szCs w:val="21"/>
              </w:rPr>
              <w:t>7）学术论坛：列表显示当年举办的学术论坛信息。</w:t>
            </w:r>
          </w:p>
          <w:p>
            <w:pPr>
              <w:spacing w:line="288" w:lineRule="auto"/>
              <w:ind w:firstLine="420" w:firstLineChars="200"/>
              <w:rPr>
                <w:rFonts w:ascii="宋体" w:hAnsi="宋体"/>
                <w:sz w:val="21"/>
                <w:szCs w:val="21"/>
              </w:rPr>
            </w:pPr>
            <w:r>
              <w:rPr>
                <w:rFonts w:hint="eastAsia" w:ascii="宋体" w:hAnsi="宋体"/>
                <w:sz w:val="21"/>
                <w:szCs w:val="21"/>
              </w:rPr>
              <w:t>（6）专业建设情况查询</w:t>
            </w:r>
          </w:p>
          <w:p>
            <w:pPr>
              <w:spacing w:line="288" w:lineRule="auto"/>
              <w:ind w:firstLine="630" w:firstLineChars="300"/>
              <w:rPr>
                <w:rFonts w:ascii="宋体" w:hAnsi="宋体"/>
                <w:sz w:val="21"/>
                <w:szCs w:val="21"/>
              </w:rPr>
            </w:pPr>
            <w:r>
              <w:rPr>
                <w:rFonts w:hint="eastAsia" w:ascii="宋体" w:hAnsi="宋体"/>
                <w:sz w:val="21"/>
                <w:szCs w:val="21"/>
              </w:rPr>
              <w:t>1）专业设置：列表显示全校专业信息，并按照各照专业的所属院系进行归类统计。</w:t>
            </w:r>
          </w:p>
          <w:p>
            <w:pPr>
              <w:spacing w:line="288" w:lineRule="auto"/>
              <w:ind w:firstLine="630" w:firstLineChars="300"/>
              <w:rPr>
                <w:rFonts w:ascii="宋体" w:hAnsi="宋体"/>
                <w:sz w:val="21"/>
                <w:szCs w:val="21"/>
              </w:rPr>
            </w:pPr>
            <w:r>
              <w:rPr>
                <w:rFonts w:hint="eastAsia" w:ascii="宋体" w:hAnsi="宋体"/>
                <w:sz w:val="21"/>
                <w:szCs w:val="21"/>
              </w:rPr>
              <w:t>2）成人专业设置：列表显示全校成人教育专业信息，并按各照专业的所属学科门类进行归类统计。</w:t>
            </w:r>
          </w:p>
          <w:p>
            <w:pPr>
              <w:spacing w:line="288" w:lineRule="auto"/>
              <w:ind w:firstLine="630" w:firstLineChars="300"/>
              <w:rPr>
                <w:rFonts w:ascii="宋体" w:hAnsi="宋体"/>
                <w:sz w:val="21"/>
                <w:szCs w:val="21"/>
              </w:rPr>
            </w:pPr>
            <w:r>
              <w:rPr>
                <w:rFonts w:hint="eastAsia" w:ascii="宋体" w:hAnsi="宋体"/>
                <w:sz w:val="21"/>
                <w:szCs w:val="21"/>
              </w:rPr>
              <w:t>3）重点课程、精品课程（各级）统计查询；</w:t>
            </w:r>
          </w:p>
          <w:p>
            <w:pPr>
              <w:spacing w:line="288" w:lineRule="auto"/>
              <w:ind w:firstLine="630" w:firstLineChars="300"/>
              <w:rPr>
                <w:rFonts w:ascii="宋体" w:hAnsi="宋体"/>
                <w:sz w:val="21"/>
                <w:szCs w:val="21"/>
              </w:rPr>
            </w:pPr>
            <w:r>
              <w:rPr>
                <w:rFonts w:hint="eastAsia" w:ascii="宋体" w:hAnsi="宋体"/>
                <w:sz w:val="21"/>
                <w:szCs w:val="21"/>
              </w:rPr>
              <w:t>4）重点专业：按照重点专业（国家级、省级、市级等分类）统计学校重点专业信息。</w:t>
            </w:r>
          </w:p>
          <w:p>
            <w:pPr>
              <w:spacing w:line="288" w:lineRule="auto"/>
              <w:ind w:firstLine="630" w:firstLineChars="300"/>
              <w:rPr>
                <w:rFonts w:ascii="宋体" w:hAnsi="宋体"/>
                <w:sz w:val="21"/>
                <w:szCs w:val="21"/>
              </w:rPr>
            </w:pPr>
            <w:r>
              <w:rPr>
                <w:rFonts w:hint="eastAsia" w:ascii="宋体" w:hAnsi="宋体"/>
                <w:sz w:val="21"/>
                <w:szCs w:val="21"/>
              </w:rPr>
              <w:t>5）实验室设置：按照各个院系为单位，统计各院系下设定的实验室数量和名称，实训管理中心管辖的各类实验室统计汇总。</w:t>
            </w:r>
          </w:p>
          <w:p>
            <w:pPr>
              <w:spacing w:line="288" w:lineRule="auto"/>
              <w:ind w:firstLine="420" w:firstLineChars="200"/>
              <w:rPr>
                <w:rFonts w:ascii="宋体" w:hAnsi="宋体"/>
                <w:sz w:val="21"/>
                <w:szCs w:val="21"/>
              </w:rPr>
            </w:pPr>
            <w:r>
              <w:rPr>
                <w:rFonts w:hint="eastAsia" w:ascii="宋体" w:hAnsi="宋体"/>
                <w:sz w:val="21"/>
                <w:szCs w:val="21"/>
              </w:rPr>
              <w:t>（7）信息化应用查询</w:t>
            </w:r>
          </w:p>
          <w:p>
            <w:pPr>
              <w:spacing w:line="288" w:lineRule="auto"/>
              <w:ind w:firstLine="630" w:firstLineChars="300"/>
              <w:rPr>
                <w:rFonts w:ascii="宋体" w:hAnsi="宋体"/>
                <w:sz w:val="21"/>
                <w:szCs w:val="21"/>
              </w:rPr>
            </w:pPr>
            <w:r>
              <w:rPr>
                <w:rFonts w:hint="eastAsia" w:ascii="宋体" w:hAnsi="宋体"/>
                <w:sz w:val="21"/>
                <w:szCs w:val="21"/>
              </w:rPr>
              <w:t>1）学校WEB应用</w:t>
            </w:r>
          </w:p>
          <w:p>
            <w:pPr>
              <w:spacing w:line="288" w:lineRule="auto"/>
              <w:ind w:firstLine="630" w:firstLineChars="300"/>
              <w:rPr>
                <w:rFonts w:ascii="宋体" w:hAnsi="宋体"/>
                <w:sz w:val="21"/>
                <w:szCs w:val="21"/>
              </w:rPr>
            </w:pPr>
            <w:r>
              <w:rPr>
                <w:rFonts w:hint="eastAsia" w:ascii="宋体" w:hAnsi="宋体"/>
                <w:sz w:val="21"/>
                <w:szCs w:val="21"/>
              </w:rPr>
              <w:t>学校网站访问量、信息门户访问量、办事大厅业务量</w:t>
            </w:r>
          </w:p>
          <w:p>
            <w:pPr>
              <w:spacing w:line="288" w:lineRule="auto"/>
              <w:ind w:firstLine="630" w:firstLineChars="300"/>
              <w:rPr>
                <w:rFonts w:ascii="宋体" w:hAnsi="宋体"/>
                <w:sz w:val="21"/>
                <w:szCs w:val="21"/>
              </w:rPr>
            </w:pPr>
            <w:r>
              <w:rPr>
                <w:rFonts w:hint="eastAsia" w:ascii="宋体" w:hAnsi="宋体"/>
                <w:sz w:val="21"/>
                <w:szCs w:val="21"/>
              </w:rPr>
              <w:t>2）运维平台</w:t>
            </w:r>
          </w:p>
          <w:p>
            <w:pPr>
              <w:spacing w:line="288" w:lineRule="auto"/>
              <w:ind w:firstLine="630" w:firstLineChars="300"/>
              <w:rPr>
                <w:rFonts w:ascii="宋体" w:hAnsi="宋体"/>
                <w:sz w:val="21"/>
                <w:szCs w:val="21"/>
              </w:rPr>
            </w:pPr>
            <w:r>
              <w:rPr>
                <w:rFonts w:hint="eastAsia" w:ascii="宋体" w:hAnsi="宋体"/>
                <w:sz w:val="21"/>
                <w:szCs w:val="21"/>
              </w:rPr>
              <w:t>平台总维护量、平均工单数、工单分布情况</w:t>
            </w:r>
          </w:p>
          <w:p>
            <w:pPr>
              <w:spacing w:line="288" w:lineRule="auto"/>
              <w:ind w:firstLine="630" w:firstLineChars="300"/>
              <w:rPr>
                <w:rFonts w:ascii="宋体" w:hAnsi="宋体"/>
                <w:sz w:val="21"/>
                <w:szCs w:val="21"/>
              </w:rPr>
            </w:pPr>
            <w:r>
              <w:rPr>
                <w:rFonts w:hint="eastAsia" w:ascii="宋体" w:hAnsi="宋体"/>
                <w:sz w:val="21"/>
                <w:szCs w:val="21"/>
              </w:rPr>
              <w:t>3）自助服务终端机</w:t>
            </w:r>
          </w:p>
          <w:p>
            <w:pPr>
              <w:spacing w:line="288" w:lineRule="auto"/>
              <w:ind w:firstLine="630" w:firstLineChars="300"/>
              <w:rPr>
                <w:rFonts w:ascii="宋体" w:hAnsi="宋体"/>
                <w:sz w:val="21"/>
                <w:szCs w:val="21"/>
              </w:rPr>
            </w:pPr>
            <w:r>
              <w:rPr>
                <w:rFonts w:hint="eastAsia" w:ascii="宋体" w:hAnsi="宋体"/>
                <w:sz w:val="21"/>
                <w:szCs w:val="21"/>
              </w:rPr>
              <w:t>4）微服务</w:t>
            </w:r>
          </w:p>
          <w:p>
            <w:pPr>
              <w:spacing w:line="288" w:lineRule="auto"/>
              <w:ind w:firstLine="630" w:firstLineChars="300"/>
              <w:rPr>
                <w:rFonts w:ascii="宋体" w:hAnsi="宋体"/>
                <w:sz w:val="21"/>
                <w:szCs w:val="21"/>
              </w:rPr>
            </w:pPr>
            <w:r>
              <w:rPr>
                <w:rFonts w:hint="eastAsia" w:ascii="宋体" w:hAnsi="宋体"/>
                <w:sz w:val="21"/>
                <w:szCs w:val="21"/>
              </w:rPr>
              <w:t>5）网络安全情况</w:t>
            </w:r>
          </w:p>
          <w:p>
            <w:pPr>
              <w:spacing w:line="288" w:lineRule="auto"/>
              <w:ind w:firstLine="630" w:firstLineChars="300"/>
              <w:rPr>
                <w:rFonts w:ascii="宋体" w:hAnsi="宋体"/>
                <w:sz w:val="21"/>
                <w:szCs w:val="21"/>
              </w:rPr>
            </w:pPr>
            <w:r>
              <w:rPr>
                <w:rFonts w:hint="eastAsia" w:ascii="宋体" w:hAnsi="宋体"/>
                <w:sz w:val="21"/>
                <w:szCs w:val="21"/>
              </w:rPr>
              <w:t>6）移动数据报告</w:t>
            </w:r>
          </w:p>
          <w:p>
            <w:pPr>
              <w:spacing w:line="288" w:lineRule="auto"/>
              <w:ind w:firstLine="630" w:firstLineChars="300"/>
              <w:rPr>
                <w:rFonts w:ascii="宋体" w:hAnsi="宋体"/>
                <w:sz w:val="21"/>
                <w:szCs w:val="21"/>
              </w:rPr>
            </w:pPr>
            <w:r>
              <w:rPr>
                <w:rFonts w:hint="eastAsia" w:ascii="宋体" w:hAnsi="宋体"/>
                <w:sz w:val="21"/>
                <w:szCs w:val="21"/>
              </w:rPr>
              <w:t>7）规章制度查询</w:t>
            </w:r>
          </w:p>
          <w:p>
            <w:pPr>
              <w:spacing w:line="288" w:lineRule="auto"/>
              <w:ind w:firstLine="630" w:firstLineChars="300"/>
              <w:rPr>
                <w:rFonts w:ascii="宋体" w:hAnsi="宋体"/>
                <w:sz w:val="21"/>
                <w:szCs w:val="21"/>
              </w:rPr>
            </w:pPr>
            <w:r>
              <w:rPr>
                <w:rFonts w:hint="eastAsia" w:ascii="宋体" w:hAnsi="宋体"/>
                <w:sz w:val="21"/>
                <w:szCs w:val="21"/>
              </w:rPr>
              <w:t>提供对学校规章制度查询的功能。可以通过发布年度、关键字查询学校规章制度，也可以顺序浏览。</w:t>
            </w:r>
          </w:p>
          <w:p>
            <w:pPr>
              <w:spacing w:line="288" w:lineRule="auto"/>
              <w:ind w:firstLine="630" w:firstLineChars="300"/>
              <w:rPr>
                <w:rFonts w:ascii="宋体" w:hAnsi="宋体"/>
                <w:sz w:val="21"/>
                <w:szCs w:val="21"/>
              </w:rPr>
            </w:pPr>
            <w:r>
              <w:rPr>
                <w:rFonts w:hint="eastAsia" w:ascii="宋体" w:hAnsi="宋体"/>
                <w:sz w:val="21"/>
                <w:szCs w:val="21"/>
              </w:rPr>
              <w:t>8）校史查询</w:t>
            </w:r>
          </w:p>
          <w:p>
            <w:pPr>
              <w:spacing w:line="288" w:lineRule="auto"/>
              <w:ind w:firstLine="420" w:firstLineChars="200"/>
              <w:rPr>
                <w:rFonts w:ascii="宋体" w:hAnsi="宋体"/>
                <w:sz w:val="21"/>
                <w:szCs w:val="21"/>
              </w:rPr>
            </w:pPr>
            <w:r>
              <w:rPr>
                <w:rFonts w:hint="eastAsia" w:ascii="宋体" w:hAnsi="宋体"/>
                <w:sz w:val="21"/>
                <w:szCs w:val="21"/>
              </w:rPr>
              <w:t>提供对学校每年度大事记查询的功能。可以通过年度、关键字查询学校大事记，也可以顺序浏览。</w:t>
            </w:r>
          </w:p>
          <w:p>
            <w:pPr>
              <w:spacing w:line="288" w:lineRule="auto"/>
              <w:ind w:firstLine="420" w:firstLineChars="200"/>
              <w:rPr>
                <w:rFonts w:ascii="宋体" w:hAnsi="宋体"/>
                <w:sz w:val="21"/>
                <w:szCs w:val="21"/>
              </w:rPr>
            </w:pPr>
            <w:r>
              <w:rPr>
                <w:rFonts w:hint="eastAsia" w:ascii="宋体" w:hAnsi="宋体"/>
                <w:sz w:val="21"/>
                <w:szCs w:val="21"/>
              </w:rPr>
              <w:t>3、综合数据分析、挖掘功能访问权限控制</w:t>
            </w:r>
          </w:p>
          <w:p>
            <w:pPr>
              <w:spacing w:line="288" w:lineRule="auto"/>
              <w:ind w:firstLine="420" w:firstLineChars="200"/>
              <w:rPr>
                <w:rFonts w:ascii="宋体" w:hAnsi="宋体"/>
                <w:sz w:val="21"/>
                <w:szCs w:val="21"/>
              </w:rPr>
            </w:pPr>
            <w:r>
              <w:rPr>
                <w:rFonts w:hint="eastAsia" w:ascii="宋体" w:hAnsi="宋体"/>
                <w:sz w:val="21"/>
                <w:szCs w:val="21"/>
              </w:rPr>
              <w:t>实现师生数字档案的所有信息查询展示，可按数据管理范围、用户角色，横向、纵向多维度进行访问权限控制，访问控制权限可精细到字段。每个角色用户页面均展现不同数据，个性化页面 、显示模块、字段、排版可后台自行配置，可随时增减显示信息。学校暂定用户角色以及访问权限如下：（以实际需求调研为主）包括、学校领导、部门负责人、系部书记、系部主任、办公室主任、教学秘书、辅导员、班主任、专业负责人、实训室负责人、普通教师、学生等，每类人员角色登录本系统后都可查看和管理所授权的数据。显示页面设计符合使用习惯，需按校方要求设计操作界面。</w:t>
            </w:r>
          </w:p>
          <w:p>
            <w:pPr>
              <w:spacing w:line="288" w:lineRule="auto"/>
              <w:rPr>
                <w:rFonts w:ascii="宋体" w:hAnsi="宋体"/>
                <w:b/>
                <w:bCs/>
                <w:sz w:val="21"/>
                <w:szCs w:val="21"/>
              </w:rPr>
            </w:pPr>
            <w:r>
              <w:rPr>
                <w:rFonts w:hint="eastAsia" w:ascii="宋体" w:hAnsi="宋体"/>
                <w:b/>
                <w:bCs/>
                <w:sz w:val="21"/>
                <w:szCs w:val="21"/>
              </w:rPr>
              <w:t>三、师生数据填报服务</w:t>
            </w:r>
          </w:p>
          <w:p>
            <w:pPr>
              <w:spacing w:line="288" w:lineRule="auto"/>
              <w:ind w:firstLine="420" w:firstLineChars="200"/>
              <w:rPr>
                <w:rFonts w:ascii="宋体" w:hAnsi="宋体"/>
                <w:sz w:val="21"/>
                <w:szCs w:val="21"/>
              </w:rPr>
            </w:pPr>
            <w:r>
              <w:rPr>
                <w:rFonts w:hint="eastAsia" w:ascii="宋体" w:hAnsi="宋体"/>
                <w:sz w:val="21"/>
                <w:szCs w:val="21"/>
              </w:rPr>
              <w:t>通过建立师生统一填报系统，自动从数据中心及综合数据应用平台抽取个人相关数据，配置各类填报表格内容，实现个人数据一次填写反复应用。如各类考核、职称晋升等。梳理常用业务管理申请项目，配置相应的业务处理流程和表单，自动从数据中心抽取相关数据，实现师生业务在线填报与处理服务。 需要且不局限于以下相关业务：</w:t>
            </w:r>
          </w:p>
          <w:p>
            <w:pPr>
              <w:spacing w:line="288" w:lineRule="auto"/>
              <w:rPr>
                <w:rFonts w:ascii="宋体" w:hAnsi="宋体"/>
                <w:sz w:val="21"/>
                <w:szCs w:val="21"/>
              </w:rPr>
            </w:pPr>
            <w:r>
              <w:rPr>
                <w:rFonts w:hint="eastAsia" w:ascii="宋体" w:hAnsi="宋体"/>
                <w:sz w:val="21"/>
                <w:szCs w:val="21"/>
              </w:rPr>
              <w:t>学生相关业务：</w:t>
            </w:r>
          </w:p>
          <w:p>
            <w:pPr>
              <w:spacing w:line="288" w:lineRule="auto"/>
              <w:ind w:firstLine="420" w:firstLineChars="200"/>
              <w:rPr>
                <w:rFonts w:ascii="宋体" w:hAnsi="宋体"/>
                <w:sz w:val="21"/>
                <w:szCs w:val="21"/>
              </w:rPr>
            </w:pPr>
            <w:r>
              <w:rPr>
                <w:rFonts w:hint="eastAsia" w:ascii="宋体" w:hAnsi="宋体"/>
                <w:sz w:val="21"/>
                <w:szCs w:val="21"/>
              </w:rPr>
              <w:t>个人奖励登记表</w:t>
            </w:r>
          </w:p>
          <w:p>
            <w:pPr>
              <w:spacing w:line="288" w:lineRule="auto"/>
              <w:ind w:firstLine="420" w:firstLineChars="200"/>
              <w:rPr>
                <w:rFonts w:ascii="宋体" w:hAnsi="宋体"/>
                <w:sz w:val="21"/>
                <w:szCs w:val="21"/>
              </w:rPr>
            </w:pPr>
            <w:r>
              <w:rPr>
                <w:rFonts w:hint="eastAsia" w:ascii="宋体" w:hAnsi="宋体"/>
                <w:sz w:val="21"/>
                <w:szCs w:val="21"/>
              </w:rPr>
              <w:t>优秀团干部登记表</w:t>
            </w:r>
          </w:p>
          <w:p>
            <w:pPr>
              <w:spacing w:line="288" w:lineRule="auto"/>
              <w:ind w:firstLine="420" w:firstLineChars="200"/>
              <w:rPr>
                <w:rFonts w:ascii="宋体" w:hAnsi="宋体"/>
                <w:sz w:val="21"/>
                <w:szCs w:val="21"/>
              </w:rPr>
            </w:pPr>
            <w:r>
              <w:rPr>
                <w:rFonts w:hint="eastAsia" w:ascii="宋体" w:hAnsi="宋体"/>
                <w:sz w:val="21"/>
                <w:szCs w:val="21"/>
              </w:rPr>
              <w:t>优秀团员登记表</w:t>
            </w:r>
          </w:p>
          <w:p>
            <w:pPr>
              <w:spacing w:line="288" w:lineRule="auto"/>
              <w:ind w:firstLine="420" w:firstLineChars="200"/>
              <w:rPr>
                <w:rFonts w:ascii="宋体" w:hAnsi="宋体"/>
                <w:sz w:val="21"/>
                <w:szCs w:val="21"/>
              </w:rPr>
            </w:pPr>
            <w:r>
              <w:rPr>
                <w:rFonts w:hint="eastAsia" w:ascii="宋体" w:hAnsi="宋体"/>
                <w:sz w:val="21"/>
                <w:szCs w:val="21"/>
              </w:rPr>
              <w:t>优秀毕业生登记表</w:t>
            </w:r>
          </w:p>
          <w:p>
            <w:pPr>
              <w:spacing w:line="288" w:lineRule="auto"/>
              <w:ind w:firstLine="420" w:firstLineChars="200"/>
              <w:rPr>
                <w:rFonts w:ascii="宋体" w:hAnsi="宋体"/>
                <w:sz w:val="21"/>
                <w:szCs w:val="21"/>
              </w:rPr>
            </w:pPr>
            <w:r>
              <w:rPr>
                <w:rFonts w:hint="eastAsia" w:ascii="宋体" w:hAnsi="宋体"/>
                <w:sz w:val="21"/>
                <w:szCs w:val="21"/>
              </w:rPr>
              <w:t>学生奖学金登记表</w:t>
            </w:r>
          </w:p>
          <w:p>
            <w:pPr>
              <w:spacing w:line="288" w:lineRule="auto"/>
              <w:ind w:firstLine="420" w:firstLineChars="200"/>
              <w:rPr>
                <w:rFonts w:ascii="宋体" w:hAnsi="宋体"/>
                <w:sz w:val="21"/>
                <w:szCs w:val="21"/>
              </w:rPr>
            </w:pPr>
            <w:r>
              <w:rPr>
                <w:rFonts w:hint="eastAsia" w:ascii="宋体" w:hAnsi="宋体"/>
                <w:sz w:val="21"/>
                <w:szCs w:val="21"/>
              </w:rPr>
              <w:t>学生综合素质评议表</w:t>
            </w:r>
          </w:p>
          <w:p>
            <w:pPr>
              <w:spacing w:line="288" w:lineRule="auto"/>
              <w:ind w:firstLine="420" w:firstLineChars="200"/>
              <w:rPr>
                <w:rFonts w:ascii="宋体" w:hAnsi="宋体"/>
                <w:sz w:val="21"/>
                <w:szCs w:val="21"/>
              </w:rPr>
            </w:pPr>
            <w:r>
              <w:rPr>
                <w:rFonts w:hint="eastAsia" w:ascii="宋体" w:hAnsi="宋体"/>
                <w:sz w:val="21"/>
                <w:szCs w:val="21"/>
              </w:rPr>
              <w:t>优秀学生干部登记表</w:t>
            </w:r>
          </w:p>
          <w:p>
            <w:pPr>
              <w:spacing w:line="288" w:lineRule="auto"/>
              <w:ind w:firstLine="420" w:firstLineChars="200"/>
              <w:rPr>
                <w:rFonts w:ascii="宋体" w:hAnsi="宋体"/>
                <w:sz w:val="21"/>
                <w:szCs w:val="21"/>
              </w:rPr>
            </w:pPr>
            <w:r>
              <w:rPr>
                <w:rFonts w:hint="eastAsia" w:ascii="宋体" w:hAnsi="宋体"/>
                <w:sz w:val="21"/>
                <w:szCs w:val="21"/>
              </w:rPr>
              <w:t>浙江省普通高等学校优秀毕业生登记表</w:t>
            </w:r>
          </w:p>
          <w:p>
            <w:pPr>
              <w:spacing w:line="288" w:lineRule="auto"/>
              <w:rPr>
                <w:rFonts w:ascii="宋体" w:hAnsi="宋体"/>
                <w:sz w:val="21"/>
                <w:szCs w:val="21"/>
              </w:rPr>
            </w:pPr>
            <w:r>
              <w:rPr>
                <w:rFonts w:hint="eastAsia" w:ascii="宋体" w:hAnsi="宋体"/>
                <w:sz w:val="21"/>
                <w:szCs w:val="21"/>
              </w:rPr>
              <w:t>教师相关业务：</w:t>
            </w:r>
          </w:p>
          <w:p>
            <w:pPr>
              <w:spacing w:line="288" w:lineRule="auto"/>
              <w:ind w:firstLine="420" w:firstLineChars="200"/>
              <w:rPr>
                <w:rFonts w:ascii="宋体" w:hAnsi="宋体"/>
                <w:sz w:val="21"/>
                <w:szCs w:val="21"/>
              </w:rPr>
            </w:pPr>
            <w:r>
              <w:rPr>
                <w:rFonts w:hint="eastAsia" w:ascii="宋体" w:hAnsi="宋体"/>
                <w:sz w:val="21"/>
                <w:szCs w:val="21"/>
              </w:rPr>
              <w:t>专业技术职务聘任、评定申报表</w:t>
            </w:r>
          </w:p>
          <w:p>
            <w:pPr>
              <w:spacing w:line="288" w:lineRule="auto"/>
              <w:ind w:firstLine="420" w:firstLineChars="200"/>
              <w:rPr>
                <w:rFonts w:ascii="宋体" w:hAnsi="宋体"/>
                <w:sz w:val="21"/>
                <w:szCs w:val="21"/>
              </w:rPr>
            </w:pPr>
            <w:r>
              <w:rPr>
                <w:rFonts w:hint="eastAsia" w:ascii="宋体" w:hAnsi="宋体"/>
                <w:sz w:val="21"/>
                <w:szCs w:val="21"/>
              </w:rPr>
              <w:t>干部任免审批表</w:t>
            </w:r>
          </w:p>
          <w:p>
            <w:pPr>
              <w:spacing w:line="288" w:lineRule="auto"/>
              <w:ind w:firstLine="420" w:firstLineChars="200"/>
              <w:rPr>
                <w:rFonts w:ascii="宋体" w:hAnsi="宋体"/>
                <w:sz w:val="21"/>
                <w:szCs w:val="21"/>
              </w:rPr>
            </w:pPr>
            <w:r>
              <w:rPr>
                <w:rFonts w:hint="eastAsia" w:ascii="宋体" w:hAnsi="宋体"/>
                <w:sz w:val="21"/>
                <w:szCs w:val="21"/>
              </w:rPr>
              <w:t>专业技术职务任命或聘任审批表</w:t>
            </w:r>
          </w:p>
          <w:p>
            <w:pPr>
              <w:spacing w:line="288" w:lineRule="auto"/>
              <w:ind w:firstLine="420" w:firstLineChars="200"/>
              <w:rPr>
                <w:rFonts w:ascii="宋体" w:hAnsi="宋体"/>
                <w:sz w:val="21"/>
                <w:szCs w:val="21"/>
              </w:rPr>
            </w:pPr>
            <w:r>
              <w:rPr>
                <w:rFonts w:hint="eastAsia" w:ascii="宋体" w:hAnsi="宋体"/>
                <w:sz w:val="21"/>
                <w:szCs w:val="21"/>
              </w:rPr>
              <w:t>年终教学工作量填报</w:t>
            </w:r>
          </w:p>
          <w:p>
            <w:pPr>
              <w:spacing w:line="288" w:lineRule="auto"/>
              <w:ind w:firstLine="420" w:firstLineChars="200"/>
              <w:rPr>
                <w:rFonts w:ascii="宋体" w:hAnsi="宋体"/>
                <w:sz w:val="21"/>
                <w:szCs w:val="21"/>
              </w:rPr>
            </w:pPr>
            <w:r>
              <w:rPr>
                <w:rFonts w:hint="eastAsia" w:ascii="宋体" w:hAnsi="宋体"/>
                <w:sz w:val="21"/>
                <w:szCs w:val="21"/>
              </w:rPr>
              <w:t>年终科研工作量填报</w:t>
            </w:r>
          </w:p>
          <w:p>
            <w:pPr>
              <w:spacing w:line="288" w:lineRule="auto"/>
              <w:rPr>
                <w:rFonts w:ascii="宋体" w:hAnsi="宋体"/>
                <w:b/>
                <w:bCs/>
                <w:sz w:val="21"/>
                <w:szCs w:val="21"/>
              </w:rPr>
            </w:pPr>
            <w:r>
              <w:rPr>
                <w:rFonts w:hint="eastAsia" w:ascii="宋体" w:hAnsi="宋体"/>
                <w:b/>
                <w:bCs/>
                <w:sz w:val="21"/>
                <w:szCs w:val="21"/>
              </w:rPr>
              <w:t>四、移动数据报告</w:t>
            </w:r>
          </w:p>
          <w:p>
            <w:pPr>
              <w:spacing w:line="288" w:lineRule="auto"/>
              <w:ind w:firstLine="420" w:firstLineChars="200"/>
              <w:rPr>
                <w:rFonts w:ascii="宋体" w:hAnsi="宋体"/>
                <w:sz w:val="21"/>
                <w:szCs w:val="21"/>
              </w:rPr>
            </w:pPr>
            <w:r>
              <w:rPr>
                <w:rFonts w:hint="eastAsia" w:ascii="宋体" w:hAnsi="宋体"/>
                <w:sz w:val="21"/>
                <w:szCs w:val="21"/>
              </w:rPr>
              <w:t>系统平台要求能在PC端、移动端（手机、平板、微信）等多终端展示。</w:t>
            </w:r>
          </w:p>
          <w:p>
            <w:pPr>
              <w:spacing w:line="288" w:lineRule="auto"/>
              <w:ind w:firstLine="420" w:firstLineChars="200"/>
              <w:rPr>
                <w:rFonts w:ascii="宋体" w:hAnsi="宋体"/>
                <w:sz w:val="21"/>
                <w:szCs w:val="21"/>
              </w:rPr>
            </w:pPr>
            <w:r>
              <w:rPr>
                <w:rFonts w:hint="eastAsia" w:ascii="宋体" w:hAnsi="宋体"/>
                <w:sz w:val="21"/>
                <w:szCs w:val="21"/>
              </w:rPr>
              <w:t>能按时间段在毕业季、学期末、年底等按要求形成一份数据报告并在PC端和移动端上展示。</w:t>
            </w:r>
          </w:p>
          <w:p>
            <w:pPr>
              <w:spacing w:line="288" w:lineRule="auto"/>
              <w:ind w:firstLine="420" w:firstLineChars="200"/>
              <w:rPr>
                <w:rFonts w:ascii="宋体" w:hAnsi="宋体"/>
                <w:sz w:val="21"/>
                <w:szCs w:val="21"/>
              </w:rPr>
            </w:pPr>
            <w:r>
              <w:rPr>
                <w:rFonts w:hint="eastAsia" w:ascii="宋体" w:hAnsi="宋体"/>
                <w:sz w:val="21"/>
                <w:szCs w:val="21"/>
              </w:rPr>
              <w:t>个人学习报告：展现当前学生个人大学期间的整体学习情况，包括获得的学时学分、个人绩点、成绩分布等信息。</w:t>
            </w:r>
          </w:p>
          <w:p>
            <w:pPr>
              <w:spacing w:line="288" w:lineRule="auto"/>
              <w:ind w:firstLine="420" w:firstLineChars="200"/>
              <w:rPr>
                <w:rFonts w:ascii="宋体" w:hAnsi="宋体"/>
                <w:sz w:val="21"/>
                <w:szCs w:val="21"/>
              </w:rPr>
            </w:pPr>
            <w:r>
              <w:rPr>
                <w:rFonts w:hint="eastAsia" w:ascii="宋体" w:hAnsi="宋体"/>
                <w:sz w:val="21"/>
                <w:szCs w:val="21"/>
              </w:rPr>
              <w:t>个人消费报告：展现个人近期的消费明细清单信息，包括消费地点、消费时间、消费金额等；同时也展示个人近期消费整体趋势情况，包括上周消费、大学期间总消费、消费分类等信息。</w:t>
            </w:r>
          </w:p>
          <w:p>
            <w:pPr>
              <w:spacing w:line="288" w:lineRule="auto"/>
              <w:ind w:firstLine="420" w:firstLineChars="200"/>
              <w:rPr>
                <w:rFonts w:ascii="宋体" w:hAnsi="宋体"/>
                <w:sz w:val="21"/>
                <w:szCs w:val="21"/>
              </w:rPr>
            </w:pPr>
            <w:r>
              <w:rPr>
                <w:rFonts w:hint="eastAsia" w:ascii="宋体" w:hAnsi="宋体"/>
                <w:sz w:val="21"/>
                <w:szCs w:val="21"/>
              </w:rPr>
              <w:t>学生成绩报告：每学期统计一次，包括各院系优秀学生分布情况、各院系平均绩点排名、挂科TOP10课程列表等信息。</w:t>
            </w:r>
          </w:p>
          <w:p>
            <w:pPr>
              <w:spacing w:line="288" w:lineRule="auto"/>
              <w:ind w:firstLine="420" w:firstLineChars="200"/>
              <w:rPr>
                <w:rFonts w:ascii="宋体" w:hAnsi="宋体"/>
                <w:sz w:val="21"/>
                <w:szCs w:val="21"/>
              </w:rPr>
            </w:pPr>
            <w:r>
              <w:rPr>
                <w:rFonts w:hint="eastAsia" w:ascii="宋体" w:hAnsi="宋体"/>
                <w:sz w:val="21"/>
                <w:szCs w:val="21"/>
              </w:rPr>
              <w:t>学生消费报告：包括男女生消费情况、不同年级消费情况、各食堂消费情况等信息。</w:t>
            </w:r>
          </w:p>
          <w:p>
            <w:pPr>
              <w:spacing w:line="288" w:lineRule="auto"/>
              <w:ind w:firstLine="420" w:firstLineChars="200"/>
              <w:rPr>
                <w:rFonts w:ascii="宋体" w:hAnsi="宋体"/>
                <w:sz w:val="21"/>
                <w:szCs w:val="21"/>
              </w:rPr>
            </w:pPr>
            <w:r>
              <w:rPr>
                <w:rFonts w:hint="eastAsia" w:ascii="宋体" w:hAnsi="宋体"/>
                <w:sz w:val="21"/>
                <w:szCs w:val="21"/>
              </w:rPr>
              <w:t>学期报告：针对在校学生当前学期的行为数据，以生动活泼的图形化方式，提供个性化的学期报告。</w:t>
            </w:r>
          </w:p>
          <w:p>
            <w:pPr>
              <w:spacing w:line="288" w:lineRule="auto"/>
              <w:ind w:firstLine="420" w:firstLineChars="200"/>
              <w:rPr>
                <w:rFonts w:ascii="宋体" w:hAnsi="宋体"/>
                <w:sz w:val="21"/>
                <w:szCs w:val="21"/>
              </w:rPr>
            </w:pPr>
            <w:r>
              <w:rPr>
                <w:rFonts w:hint="eastAsia" w:ascii="宋体" w:hAnsi="宋体"/>
                <w:sz w:val="21"/>
                <w:szCs w:val="21"/>
              </w:rPr>
              <w:t>毕业报告：基于毕业生在校期间的各类数据（消费、借阅、成绩等），形成毕业生在校期间的行为数据报告</w:t>
            </w:r>
          </w:p>
          <w:p>
            <w:pPr>
              <w:spacing w:line="288" w:lineRule="auto"/>
              <w:ind w:firstLine="420" w:firstLineChars="200"/>
              <w:rPr>
                <w:rFonts w:ascii="宋体" w:hAnsi="宋体"/>
                <w:sz w:val="21"/>
                <w:szCs w:val="21"/>
              </w:rPr>
            </w:pPr>
            <w:r>
              <w:rPr>
                <w:rFonts w:hint="eastAsia" w:ascii="宋体" w:hAnsi="宋体"/>
                <w:sz w:val="21"/>
                <w:szCs w:val="21"/>
              </w:rPr>
              <w:t>其他……</w:t>
            </w:r>
          </w:p>
          <w:p>
            <w:pPr>
              <w:spacing w:line="288" w:lineRule="auto"/>
              <w:rPr>
                <w:rFonts w:ascii="宋体" w:hAnsi="宋体"/>
                <w:b/>
                <w:bCs/>
                <w:sz w:val="21"/>
                <w:szCs w:val="21"/>
              </w:rPr>
            </w:pPr>
            <w:r>
              <w:rPr>
                <w:rFonts w:hint="eastAsia" w:ascii="宋体" w:hAnsi="宋体"/>
                <w:b/>
                <w:bCs/>
                <w:sz w:val="21"/>
                <w:szCs w:val="21"/>
              </w:rPr>
              <w:t>五、高基报表和高校教学状态数据填报</w:t>
            </w:r>
          </w:p>
          <w:p>
            <w:pPr>
              <w:spacing w:line="288" w:lineRule="auto"/>
              <w:ind w:firstLine="420" w:firstLineChars="200"/>
              <w:rPr>
                <w:rFonts w:ascii="宋体" w:hAnsi="宋体"/>
                <w:sz w:val="21"/>
                <w:szCs w:val="21"/>
              </w:rPr>
            </w:pPr>
            <w:r>
              <w:rPr>
                <w:rFonts w:hint="eastAsia" w:ascii="宋体" w:hAnsi="宋体"/>
                <w:sz w:val="21"/>
                <w:szCs w:val="21"/>
              </w:rPr>
              <w:t>为高基报表和高校教学状态数据报表等常用数据报表的填报提供数据支持，从共享数据中心获取相应数据，为学校各部门填报工作减轻负担。实施时根据学校需求细化。</w:t>
            </w:r>
          </w:p>
          <w:p>
            <w:pPr>
              <w:spacing w:line="288" w:lineRule="auto"/>
              <w:ind w:firstLine="420" w:firstLineChars="200"/>
              <w:rPr>
                <w:rFonts w:ascii="宋体" w:hAnsi="宋体"/>
                <w:sz w:val="21"/>
                <w:szCs w:val="21"/>
              </w:rPr>
            </w:pPr>
            <w:r>
              <w:rPr>
                <w:rFonts w:hint="eastAsia" w:ascii="宋体" w:hAnsi="宋体"/>
                <w:sz w:val="21"/>
                <w:szCs w:val="21"/>
              </w:rPr>
              <w:t>如本系统支持的高基报表，需覆盖了大部分常用的报表内容，主要包括高基112学校（机构）基本情况、高基312普通本科分专业学生数、高基411教职工情况等，以便管理人员向上级主管部门提供所需要的高基报表，具体需求以学校实际调研结果为准。</w:t>
            </w:r>
          </w:p>
          <w:p>
            <w:pPr>
              <w:spacing w:line="288" w:lineRule="auto"/>
              <w:ind w:firstLine="420" w:firstLineChars="200"/>
              <w:rPr>
                <w:rFonts w:ascii="宋体" w:hAnsi="宋体"/>
                <w:sz w:val="21"/>
                <w:szCs w:val="21"/>
              </w:rPr>
            </w:pPr>
            <w:r>
              <w:rPr>
                <w:rFonts w:hint="eastAsia" w:ascii="宋体" w:hAnsi="宋体"/>
                <w:sz w:val="21"/>
                <w:szCs w:val="21"/>
              </w:rPr>
              <w:t>具体支持的高基报表清单见下表：</w:t>
            </w:r>
          </w:p>
          <w:tbl>
            <w:tblPr>
              <w:tblStyle w:val="28"/>
              <w:tblW w:w="6156" w:type="dxa"/>
              <w:tblInd w:w="93" w:type="dxa"/>
              <w:tblLayout w:type="fixed"/>
              <w:tblCellMar>
                <w:top w:w="0" w:type="dxa"/>
                <w:left w:w="108" w:type="dxa"/>
                <w:bottom w:w="0" w:type="dxa"/>
                <w:right w:w="108" w:type="dxa"/>
              </w:tblCellMar>
            </w:tblPr>
            <w:tblGrid>
              <w:gridCol w:w="1494"/>
              <w:gridCol w:w="4662"/>
            </w:tblGrid>
            <w:tr>
              <w:tblPrEx>
                <w:tblLayout w:type="fixed"/>
                <w:tblCellMar>
                  <w:top w:w="0" w:type="dxa"/>
                  <w:left w:w="108" w:type="dxa"/>
                  <w:bottom w:w="0" w:type="dxa"/>
                  <w:right w:w="108" w:type="dxa"/>
                </w:tblCellMar>
              </w:tblPrEx>
              <w:trPr>
                <w:trHeight w:val="283" w:hRule="atLeast"/>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sz w:val="21"/>
                      <w:szCs w:val="21"/>
                    </w:rPr>
                  </w:pPr>
                  <w:r>
                    <w:rPr>
                      <w:rFonts w:hint="eastAsia" w:ascii="宋体" w:hAnsi="宋体"/>
                      <w:sz w:val="21"/>
                      <w:szCs w:val="21"/>
                    </w:rPr>
                    <w:t>高基报表编号</w:t>
                  </w:r>
                </w:p>
              </w:tc>
              <w:tc>
                <w:tcPr>
                  <w:tcW w:w="4662" w:type="dxa"/>
                  <w:tcBorders>
                    <w:top w:val="single" w:color="auto" w:sz="4" w:space="0"/>
                    <w:left w:val="nil"/>
                    <w:bottom w:val="single" w:color="auto" w:sz="4" w:space="0"/>
                    <w:right w:val="single" w:color="auto" w:sz="4" w:space="0"/>
                  </w:tcBorders>
                  <w:shd w:val="clear" w:color="auto" w:fill="auto"/>
                  <w:vAlign w:val="center"/>
                </w:tcPr>
                <w:p>
                  <w:pPr>
                    <w:spacing w:line="288" w:lineRule="auto"/>
                    <w:jc w:val="center"/>
                    <w:rPr>
                      <w:rFonts w:ascii="宋体" w:hAnsi="宋体"/>
                      <w:sz w:val="21"/>
                      <w:szCs w:val="21"/>
                    </w:rPr>
                  </w:pPr>
                  <w:r>
                    <w:rPr>
                      <w:rFonts w:hint="eastAsia" w:ascii="宋体" w:hAnsi="宋体"/>
                      <w:sz w:val="21"/>
                      <w:szCs w:val="21"/>
                    </w:rPr>
                    <w:t>高基报表名称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G111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高等教育学校（机构）统计报表</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G112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学校（机构）基本情况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普通专科分专业学生数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普通本科分专业学生数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G313</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成人专科分专业学生数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G314</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成人本科分专业学生数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G315</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网络专科分专业学生数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G316</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网络本科分专业学生数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G317</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硕士研究生分专业（领域）学生数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G318</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博士研究生分专业（领域）学生数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G321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在校生分年龄情况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G322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招生、在校生来源情况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G331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学生变动情况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G332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学生休退学的主要原因</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G341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在校生中其他情况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G351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在职人员攻读硕士学位分专业（领域）学生数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G361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其他学生情况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G371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外国留学生情况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G411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教职工情况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G421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专任教师、聘请校外教师岗位分类情况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G422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专任教师、聘请校外教师学历（位）情况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G423</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专任教师年龄情况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G424</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分学科专任教师数</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G431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专任教师变动情况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G441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专任教师接受培训情况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G451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研究生指导教师情况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G461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教职工中其他情况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G511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校舍情况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G521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资产情况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G522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信息化建设情况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G921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民办高校、独立学院校舍权属情况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G922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民办高校、独立学院校园占地权属情况</w:t>
                  </w:r>
                </w:p>
              </w:tc>
            </w:tr>
            <w:tr>
              <w:tblPrEx>
                <w:tblLayout w:type="fixed"/>
                <w:tblCellMar>
                  <w:top w:w="0" w:type="dxa"/>
                  <w:left w:w="108" w:type="dxa"/>
                  <w:bottom w:w="0" w:type="dxa"/>
                  <w:right w:w="108" w:type="dxa"/>
                </w:tblCellMar>
              </w:tblPrEx>
              <w:trPr>
                <w:trHeight w:val="28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G931</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专职辅导员分年龄、专业技术职务、学历情况</w:t>
                  </w:r>
                </w:p>
              </w:tc>
            </w:tr>
            <w:tr>
              <w:tblPrEx>
                <w:tblLayout w:type="fixed"/>
                <w:tblCellMar>
                  <w:top w:w="0" w:type="dxa"/>
                  <w:left w:w="108" w:type="dxa"/>
                  <w:bottom w:w="0" w:type="dxa"/>
                  <w:right w:w="108" w:type="dxa"/>
                </w:tblCellMar>
              </w:tblPrEx>
              <w:trPr>
                <w:trHeight w:val="293" w:hRule="atLeast"/>
              </w:trPr>
              <w:tc>
                <w:tcPr>
                  <w:tcW w:w="1494" w:type="dxa"/>
                  <w:tcBorders>
                    <w:top w:val="nil"/>
                    <w:left w:val="single" w:color="auto" w:sz="4" w:space="0"/>
                    <w:bottom w:val="single" w:color="auto" w:sz="4" w:space="0"/>
                    <w:right w:val="single" w:color="auto" w:sz="4" w:space="0"/>
                  </w:tcBorders>
                  <w:shd w:val="clear" w:color="auto" w:fill="auto"/>
                  <w:vAlign w:val="center"/>
                </w:tcPr>
                <w:p>
                  <w:pPr>
                    <w:spacing w:line="288" w:lineRule="auto"/>
                    <w:ind w:firstLine="420" w:firstLineChars="200"/>
                    <w:rPr>
                      <w:rFonts w:ascii="宋体" w:hAnsi="宋体"/>
                      <w:sz w:val="21"/>
                      <w:szCs w:val="21"/>
                    </w:rPr>
                  </w:pPr>
                  <w:r>
                    <w:rPr>
                      <w:rFonts w:hint="eastAsia" w:ascii="宋体" w:hAnsi="宋体"/>
                      <w:sz w:val="21"/>
                      <w:szCs w:val="21"/>
                    </w:rPr>
                    <w:t>G932</w:t>
                  </w:r>
                </w:p>
              </w:tc>
              <w:tc>
                <w:tcPr>
                  <w:tcW w:w="4662"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心理咨询工作人员情况</w:t>
                  </w:r>
                </w:p>
              </w:tc>
            </w:tr>
          </w:tbl>
          <w:p>
            <w:pPr>
              <w:spacing w:line="288" w:lineRule="auto"/>
              <w:rPr>
                <w:rFonts w:ascii="宋体" w:hAnsi="宋体"/>
                <w:sz w:val="21"/>
                <w:szCs w:val="21"/>
              </w:rPr>
            </w:pPr>
            <w:r>
              <w:rPr>
                <w:rFonts w:hint="eastAsia" w:ascii="宋体" w:hAnsi="宋体"/>
                <w:sz w:val="21"/>
                <w:szCs w:val="21"/>
              </w:rPr>
              <w:t>高校教学状态数据填报清单见下表：</w:t>
            </w:r>
          </w:p>
          <w:tbl>
            <w:tblPr>
              <w:tblStyle w:val="28"/>
              <w:tblW w:w="6080" w:type="dxa"/>
              <w:tblInd w:w="93" w:type="dxa"/>
              <w:tblLayout w:type="fixed"/>
              <w:tblCellMar>
                <w:top w:w="0" w:type="dxa"/>
                <w:left w:w="108" w:type="dxa"/>
                <w:bottom w:w="0" w:type="dxa"/>
                <w:right w:w="108" w:type="dxa"/>
              </w:tblCellMar>
            </w:tblPr>
            <w:tblGrid>
              <w:gridCol w:w="1396"/>
              <w:gridCol w:w="4684"/>
            </w:tblGrid>
            <w:tr>
              <w:tblPrEx>
                <w:tblLayout w:type="fixed"/>
                <w:tblCellMar>
                  <w:top w:w="0" w:type="dxa"/>
                  <w:left w:w="108" w:type="dxa"/>
                  <w:bottom w:w="0" w:type="dxa"/>
                  <w:right w:w="108" w:type="dxa"/>
                </w:tblCellMar>
              </w:tblPrEx>
              <w:trPr>
                <w:trHeight w:val="292" w:hRule="atLeast"/>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hAnsi="宋体"/>
                      <w:sz w:val="21"/>
                      <w:szCs w:val="21"/>
                    </w:rPr>
                  </w:pPr>
                  <w:r>
                    <w:rPr>
                      <w:rFonts w:hint="eastAsia" w:ascii="宋体" w:hAnsi="宋体"/>
                      <w:sz w:val="21"/>
                      <w:szCs w:val="21"/>
                    </w:rPr>
                    <w:t>报表编号</w:t>
                  </w:r>
                </w:p>
              </w:tc>
              <w:tc>
                <w:tcPr>
                  <w:tcW w:w="4684" w:type="dxa"/>
                  <w:tcBorders>
                    <w:top w:val="single" w:color="auto" w:sz="4" w:space="0"/>
                    <w:left w:val="nil"/>
                    <w:bottom w:val="single" w:color="auto" w:sz="4" w:space="0"/>
                    <w:right w:val="single" w:color="auto" w:sz="4" w:space="0"/>
                  </w:tcBorders>
                  <w:shd w:val="clear" w:color="auto" w:fill="auto"/>
                  <w:vAlign w:val="center"/>
                </w:tcPr>
                <w:p>
                  <w:pPr>
                    <w:spacing w:line="288" w:lineRule="auto"/>
                    <w:jc w:val="center"/>
                    <w:rPr>
                      <w:rFonts w:ascii="宋体" w:hAnsi="宋体"/>
                      <w:sz w:val="21"/>
                      <w:szCs w:val="21"/>
                    </w:rPr>
                  </w:pPr>
                  <w:r>
                    <w:rPr>
                      <w:rFonts w:hint="eastAsia" w:ascii="宋体" w:hAnsi="宋体"/>
                      <w:sz w:val="21"/>
                      <w:szCs w:val="21"/>
                    </w:rPr>
                    <w:t>报表名称</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学校概况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校区及地址</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学校相关党政单位</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学校教学科研单位</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表1-5-1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专业基本情况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表1-5-2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专业大类情况表</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表1-6-1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教职工基本信息</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表1-6-2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外聘教师基本信息</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表1-6-3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附属医院师资情况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表1-7</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本科生基本情况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表1-8-1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本科实验场所</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表1-8-2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科研基地</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表1-9</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办学指导思想</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表1-10</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校友会与社会合作</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占地与建筑面积</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教学行政用房面积</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表2-3-1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图书馆</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表2-3-2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图书当年新增情况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校外实习、实训基地</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表2-5</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校园网</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表2-6</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固定资产</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表2-7</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本科实验设备情况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表2-8</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实验教学示范中心</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表2-9-1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教育经费概况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表2-9-2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教育经费收支情况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表2-10</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学生生活、运动条件</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校领导基本信息</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相关管理人员基本信息</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表3-3-1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高层次人才</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表3-3-2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高层次教学、研究团队</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表3-4-1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教师教学发展机构</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表3-4-2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教师培训进修、交流情况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表3-5-1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教师主持科研项目情况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表3-5-2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教师获得科研奖励情况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表3-5-3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教师发表的论文情况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表3-5-4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教师出版专著情况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表3-5-5</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教师专利（著作权）授权情况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表3-5-6</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教师主编本专业教材情况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表4-1-1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学科建设</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表4-1-2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博士后流动站</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表4-1-3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博士点、硕士点</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表4-1-4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重点学科</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表4-2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专业培养计划表</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表5-1-1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开课情况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表5-1-2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专业课教学实施情况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表5-1-3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专业核心课程情况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表5-1-4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分专业（大类）专业实验课情况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表5-2-1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分专业毕业综合训练情况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表5-2-2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分专业教师指导学生毕业综合训练情况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表5-2-3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医学专业学生毕业综合训练情况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表5-3-1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人才培养模式创新实验项目</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表5-3-2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本科教学信息化</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表5-4-1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创新创业教育情况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表5-4-2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高校实践育人创新创业基地</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表5-5</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课外活动、讲座</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学生数量基本情况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表6-2-1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本科生转专业情况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表6-2-2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本科生辅修、双学位情况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表6-3-1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近一届本科生招生类别情况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表6-3-2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本科生（境外）情况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表6-3-3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近一级本科生录取标准及人数</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表6-3-4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近一级各专业（大类）招生报到情况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本科生奖贷补</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表6-5-1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应届本科毕业生就业情况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表6-5-2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应届本科毕业生分专业毕业就业情况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本科生学习成效</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学生参加大学生创新创业训练计划情况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学生参与教师科研项目情况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学生获省级及以上各类竞赛奖励情况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学生获专业比赛奖励情况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表6-6-5</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学生发表学术论文情况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表6-6-6</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学生创作、表演的代表性作品</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表6-6-7</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学生专利</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表6-7</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本科生交流情况</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表6-8</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学生社团</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表7-1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教学管理人员成果</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表7-2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教学质量评估统计表</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表7-3-1</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教育教学研究与改革项目</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表7-3-2</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教学成果奖</w:t>
                  </w:r>
                </w:p>
              </w:tc>
            </w:tr>
            <w:tr>
              <w:tblPrEx>
                <w:tblLayout w:type="fixed"/>
                <w:tblCellMar>
                  <w:top w:w="0" w:type="dxa"/>
                  <w:left w:w="108" w:type="dxa"/>
                  <w:bottom w:w="0" w:type="dxa"/>
                  <w:right w:w="108" w:type="dxa"/>
                </w:tblCellMar>
              </w:tblPrEx>
              <w:trPr>
                <w:trHeight w:val="29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表7-3-3</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省级及以上本科教学工程项目情况</w:t>
                  </w:r>
                </w:p>
              </w:tc>
            </w:tr>
            <w:tr>
              <w:tblPrEx>
                <w:tblLayout w:type="fixed"/>
                <w:tblCellMar>
                  <w:top w:w="0" w:type="dxa"/>
                  <w:left w:w="108" w:type="dxa"/>
                  <w:bottom w:w="0" w:type="dxa"/>
                  <w:right w:w="108" w:type="dxa"/>
                </w:tblCellMar>
              </w:tblPrEx>
              <w:trPr>
                <w:trHeight w:val="302" w:hRule="atLeast"/>
              </w:trPr>
              <w:tc>
                <w:tcPr>
                  <w:tcW w:w="1396" w:type="dxa"/>
                  <w:tcBorders>
                    <w:top w:val="nil"/>
                    <w:left w:val="single" w:color="auto" w:sz="4" w:space="0"/>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表7-4</w:t>
                  </w:r>
                </w:p>
              </w:tc>
              <w:tc>
                <w:tcPr>
                  <w:tcW w:w="4684" w:type="dxa"/>
                  <w:tcBorders>
                    <w:top w:val="nil"/>
                    <w:left w:val="nil"/>
                    <w:bottom w:val="single" w:color="auto" w:sz="4" w:space="0"/>
                    <w:right w:val="single" w:color="auto" w:sz="4" w:space="0"/>
                  </w:tcBorders>
                  <w:shd w:val="clear" w:color="auto" w:fill="auto"/>
                  <w:vAlign w:val="center"/>
                </w:tcPr>
                <w:p>
                  <w:pPr>
                    <w:spacing w:line="288" w:lineRule="auto"/>
                    <w:rPr>
                      <w:rFonts w:ascii="宋体" w:hAnsi="宋体"/>
                      <w:sz w:val="21"/>
                      <w:szCs w:val="21"/>
                    </w:rPr>
                  </w:pPr>
                  <w:r>
                    <w:rPr>
                      <w:rFonts w:hint="eastAsia" w:ascii="宋体" w:hAnsi="宋体"/>
                      <w:sz w:val="21"/>
                      <w:szCs w:val="21"/>
                    </w:rPr>
                    <w:t>本科教学质量年度报告</w:t>
                  </w:r>
                </w:p>
              </w:tc>
            </w:tr>
          </w:tbl>
          <w:p>
            <w:pPr>
              <w:spacing w:line="288" w:lineRule="auto"/>
              <w:rPr>
                <w:rFonts w:ascii="宋体" w:hAnsi="宋体"/>
                <w:sz w:val="21"/>
                <w:szCs w:val="21"/>
              </w:rPr>
            </w:pPr>
            <w:r>
              <w:rPr>
                <w:rFonts w:hint="eastAsia" w:ascii="宋体" w:hAnsi="宋体"/>
                <w:sz w:val="21"/>
                <w:szCs w:val="21"/>
              </w:rPr>
              <w:t>注：</w:t>
            </w:r>
          </w:p>
          <w:p>
            <w:pPr>
              <w:spacing w:line="288" w:lineRule="auto"/>
              <w:ind w:firstLine="420" w:firstLineChars="200"/>
              <w:rPr>
                <w:rFonts w:ascii="宋体" w:hAnsi="宋体"/>
                <w:sz w:val="21"/>
                <w:szCs w:val="21"/>
              </w:rPr>
            </w:pPr>
            <w:r>
              <w:rPr>
                <w:rFonts w:hint="eastAsia" w:ascii="宋体" w:hAnsi="宋体"/>
                <w:sz w:val="21"/>
                <w:szCs w:val="21"/>
              </w:rPr>
              <w:t>1、高基报表和状态数据共用的数据，需要制定统一的维护界面，在业务系统没有数据支持的情况下，需要制定相应的原始数据填报功能。</w:t>
            </w:r>
          </w:p>
          <w:p>
            <w:pPr>
              <w:spacing w:line="288" w:lineRule="auto"/>
              <w:ind w:firstLine="420" w:firstLineChars="200"/>
              <w:rPr>
                <w:rFonts w:ascii="宋体" w:hAnsi="宋体"/>
                <w:sz w:val="21"/>
                <w:szCs w:val="21"/>
              </w:rPr>
            </w:pPr>
            <w:r>
              <w:rPr>
                <w:rFonts w:hint="eastAsia" w:ascii="宋体" w:hAnsi="宋体"/>
                <w:sz w:val="21"/>
                <w:szCs w:val="21"/>
              </w:rPr>
              <w:t>2、需要根据教育部每年的实际情况，做相应的报表改动或增减报表功能。</w:t>
            </w:r>
          </w:p>
          <w:p>
            <w:pPr>
              <w:spacing w:line="288" w:lineRule="auto"/>
              <w:ind w:firstLine="420" w:firstLineChars="200"/>
              <w:rPr>
                <w:rFonts w:ascii="宋体" w:hAnsi="宋体"/>
                <w:sz w:val="21"/>
                <w:szCs w:val="21"/>
              </w:rPr>
            </w:pPr>
            <w:r>
              <w:rPr>
                <w:rFonts w:hint="eastAsia" w:ascii="宋体" w:hAnsi="宋体"/>
                <w:sz w:val="21"/>
                <w:szCs w:val="21"/>
              </w:rPr>
              <w:t>3、对填报的报表可以进行时点备份修改，并能根据真实的数据做差异比较。</w:t>
            </w:r>
          </w:p>
          <w:p>
            <w:pPr>
              <w:spacing w:line="288" w:lineRule="auto"/>
              <w:rPr>
                <w:rFonts w:ascii="宋体" w:hAnsi="宋体"/>
                <w:b/>
                <w:bCs/>
                <w:sz w:val="21"/>
                <w:szCs w:val="21"/>
              </w:rPr>
            </w:pPr>
            <w:r>
              <w:rPr>
                <w:rFonts w:hint="eastAsia" w:ascii="宋体" w:hAnsi="宋体"/>
                <w:b/>
                <w:bCs/>
                <w:sz w:val="21"/>
                <w:szCs w:val="21"/>
              </w:rPr>
              <w:t>六、数据集成整合平台</w:t>
            </w:r>
          </w:p>
          <w:p>
            <w:pPr>
              <w:spacing w:line="288" w:lineRule="auto"/>
              <w:ind w:firstLine="420" w:firstLineChars="200"/>
              <w:rPr>
                <w:rFonts w:ascii="宋体" w:hAnsi="宋体"/>
                <w:sz w:val="21"/>
                <w:szCs w:val="21"/>
              </w:rPr>
            </w:pPr>
            <w:r>
              <w:rPr>
                <w:rFonts w:hint="eastAsia" w:ascii="宋体" w:hAnsi="宋体"/>
                <w:sz w:val="21"/>
                <w:szCs w:val="21"/>
              </w:rPr>
              <w:t>综合数据应用平台需要在学校数据中心的基础上，建设面向全校的大数据分析数据仓库，对综合数据应用提供数据支撑，按国家、教育部、学校三类，为应用系统提供代码表参照标准,数据采集内容包括人事、后勤、学工、教务、财务、体育等校内业务管理系统内数据。</w:t>
            </w:r>
          </w:p>
          <w:p>
            <w:pPr>
              <w:spacing w:line="288" w:lineRule="auto"/>
              <w:rPr>
                <w:rFonts w:ascii="宋体" w:hAnsi="宋体"/>
                <w:b/>
                <w:bCs/>
                <w:sz w:val="21"/>
                <w:szCs w:val="21"/>
              </w:rPr>
            </w:pPr>
            <w:r>
              <w:rPr>
                <w:rFonts w:hint="eastAsia" w:ascii="宋体" w:hAnsi="宋体"/>
                <w:b/>
                <w:bCs/>
                <w:sz w:val="21"/>
                <w:szCs w:val="21"/>
              </w:rPr>
              <w:t>1.数据集成平台</w:t>
            </w:r>
          </w:p>
          <w:p>
            <w:pPr>
              <w:spacing w:line="288" w:lineRule="auto"/>
              <w:ind w:firstLine="420" w:firstLineChars="200"/>
              <w:rPr>
                <w:rFonts w:ascii="宋体" w:hAnsi="宋体"/>
                <w:sz w:val="21"/>
                <w:szCs w:val="21"/>
              </w:rPr>
            </w:pPr>
            <w:r>
              <w:rPr>
                <w:rFonts w:hint="eastAsia" w:ascii="宋体" w:hAnsi="宋体"/>
                <w:sz w:val="21"/>
                <w:szCs w:val="21"/>
              </w:rPr>
              <w:t>数据集成接口：为不同类型的数据源提供接口，包括：</w:t>
            </w:r>
          </w:p>
          <w:p>
            <w:pPr>
              <w:spacing w:line="288" w:lineRule="auto"/>
              <w:ind w:firstLine="420" w:firstLineChars="200"/>
              <w:rPr>
                <w:rFonts w:ascii="宋体" w:hAnsi="宋体"/>
                <w:sz w:val="21"/>
                <w:szCs w:val="21"/>
              </w:rPr>
            </w:pPr>
            <w:r>
              <w:rPr>
                <w:rFonts w:hint="eastAsia" w:ascii="宋体" w:hAnsi="宋体"/>
                <w:sz w:val="21"/>
                <w:szCs w:val="21"/>
              </w:rPr>
              <w:t>（1）支持主流RDBMS如：Oracle、DB2、Sybase、SQL Server、InfoMix的数据集成；</w:t>
            </w:r>
          </w:p>
          <w:p>
            <w:pPr>
              <w:spacing w:line="288" w:lineRule="auto"/>
              <w:ind w:firstLine="420" w:firstLineChars="200"/>
              <w:rPr>
                <w:rFonts w:ascii="宋体" w:hAnsi="宋体"/>
                <w:sz w:val="21"/>
                <w:szCs w:val="21"/>
              </w:rPr>
            </w:pPr>
            <w:r>
              <w:rPr>
                <w:rFonts w:hint="eastAsia" w:ascii="宋体" w:hAnsi="宋体"/>
                <w:sz w:val="21"/>
                <w:szCs w:val="21"/>
              </w:rPr>
              <w:t>（2）支持非主流RDBMS如：Mysql、Derby、HypersonicSQL、PostgreSQL的数据集成；</w:t>
            </w:r>
          </w:p>
          <w:p>
            <w:pPr>
              <w:spacing w:line="288" w:lineRule="auto"/>
              <w:ind w:firstLine="420" w:firstLineChars="200"/>
              <w:rPr>
                <w:rFonts w:ascii="宋体" w:hAnsi="宋体"/>
                <w:sz w:val="21"/>
                <w:szCs w:val="21"/>
              </w:rPr>
            </w:pPr>
            <w:r>
              <w:rPr>
                <w:rFonts w:hint="eastAsia" w:ascii="宋体" w:hAnsi="宋体"/>
                <w:sz w:val="21"/>
                <w:szCs w:val="21"/>
              </w:rPr>
              <w:t>（3）支持ODBC数据源如：Foxpro、Access、Excel等的数据集成接口；</w:t>
            </w:r>
          </w:p>
          <w:p>
            <w:pPr>
              <w:spacing w:line="288" w:lineRule="auto"/>
              <w:ind w:firstLine="420" w:firstLineChars="200"/>
              <w:rPr>
                <w:rFonts w:ascii="宋体" w:hAnsi="宋体"/>
                <w:sz w:val="21"/>
                <w:szCs w:val="21"/>
              </w:rPr>
            </w:pPr>
            <w:r>
              <w:rPr>
                <w:rFonts w:hint="eastAsia" w:ascii="宋体" w:hAnsi="宋体"/>
                <w:sz w:val="21"/>
                <w:szCs w:val="21"/>
              </w:rPr>
              <w:t>（4）支持消息类型数据源如：JMS Queue、JMS Topic的数据集成；</w:t>
            </w:r>
          </w:p>
          <w:p>
            <w:pPr>
              <w:spacing w:line="288" w:lineRule="auto"/>
              <w:ind w:firstLine="420" w:firstLineChars="200"/>
              <w:rPr>
                <w:rFonts w:ascii="宋体" w:hAnsi="宋体"/>
                <w:sz w:val="21"/>
                <w:szCs w:val="21"/>
              </w:rPr>
            </w:pPr>
            <w:r>
              <w:rPr>
                <w:rFonts w:hint="eastAsia" w:ascii="宋体" w:hAnsi="宋体"/>
                <w:sz w:val="21"/>
                <w:szCs w:val="21"/>
              </w:rPr>
              <w:t>（5）支持如格式化的txt及XML的文件数据集成；</w:t>
            </w:r>
          </w:p>
          <w:p>
            <w:pPr>
              <w:spacing w:line="288" w:lineRule="auto"/>
              <w:ind w:firstLine="420" w:firstLineChars="200"/>
              <w:rPr>
                <w:rFonts w:ascii="宋体" w:hAnsi="宋体"/>
                <w:sz w:val="21"/>
                <w:szCs w:val="21"/>
              </w:rPr>
            </w:pPr>
            <w:r>
              <w:rPr>
                <w:rFonts w:hint="eastAsia" w:ascii="宋体" w:hAnsi="宋体"/>
                <w:sz w:val="21"/>
                <w:szCs w:val="21"/>
              </w:rPr>
              <w:t>（6）支持WebService的数据集成；</w:t>
            </w:r>
          </w:p>
          <w:p>
            <w:pPr>
              <w:spacing w:line="288" w:lineRule="auto"/>
              <w:ind w:firstLine="420" w:firstLineChars="200"/>
              <w:rPr>
                <w:rFonts w:ascii="宋体" w:hAnsi="宋体"/>
                <w:sz w:val="21"/>
                <w:szCs w:val="21"/>
              </w:rPr>
            </w:pPr>
            <w:r>
              <w:rPr>
                <w:rFonts w:hint="eastAsia" w:ascii="宋体" w:hAnsi="宋体"/>
                <w:sz w:val="21"/>
                <w:szCs w:val="21"/>
              </w:rPr>
              <w:t>（7）支持其他特殊类型数据格式如：LOB字段（BLOB、CLOB）的数据集成。</w:t>
            </w:r>
          </w:p>
          <w:p>
            <w:pPr>
              <w:spacing w:line="288" w:lineRule="auto"/>
              <w:ind w:firstLine="420" w:firstLineChars="200"/>
              <w:rPr>
                <w:rFonts w:ascii="宋体" w:hAnsi="宋体"/>
                <w:sz w:val="21"/>
                <w:szCs w:val="21"/>
              </w:rPr>
            </w:pPr>
            <w:r>
              <w:rPr>
                <w:rFonts w:hint="eastAsia" w:ascii="宋体" w:hAnsi="宋体"/>
                <w:sz w:val="21"/>
                <w:szCs w:val="21"/>
              </w:rPr>
              <w:t>数据集成KM模块：提供数据集成KM库，包括了各种数据集成需求开发包共计100多项。拓扑管理工具：对数据源和调度代理进行管理，支持RDBMS、文本、消息、WebService</w:t>
            </w:r>
            <w:r>
              <w:rPr>
                <w:rFonts w:hint="eastAsia" w:ascii="宋体" w:hAnsi="宋体"/>
                <w:sz w:val="21"/>
                <w:szCs w:val="21"/>
              </w:rPr>
              <w:tab/>
            </w:r>
            <w:r>
              <w:rPr>
                <w:rFonts w:hint="eastAsia" w:ascii="宋体" w:hAnsi="宋体"/>
                <w:sz w:val="21"/>
                <w:szCs w:val="21"/>
              </w:rPr>
              <w:t>等各种数据源接口。</w:t>
            </w:r>
          </w:p>
          <w:p>
            <w:pPr>
              <w:spacing w:line="288" w:lineRule="auto"/>
              <w:ind w:firstLine="420" w:firstLineChars="200"/>
              <w:rPr>
                <w:rFonts w:ascii="宋体" w:hAnsi="宋体"/>
                <w:sz w:val="21"/>
                <w:szCs w:val="21"/>
              </w:rPr>
            </w:pPr>
            <w:r>
              <w:rPr>
                <w:rFonts w:hint="eastAsia" w:ascii="宋体" w:hAnsi="宋体"/>
                <w:sz w:val="21"/>
                <w:szCs w:val="21"/>
              </w:rPr>
              <w:t>集成设计工具：对数据集成项目提供图形化界面进行设计和开发。</w:t>
            </w:r>
          </w:p>
          <w:p>
            <w:pPr>
              <w:spacing w:line="288" w:lineRule="auto"/>
              <w:ind w:firstLine="420" w:firstLineChars="200"/>
              <w:rPr>
                <w:rFonts w:ascii="宋体" w:hAnsi="宋体"/>
                <w:sz w:val="21"/>
                <w:szCs w:val="21"/>
              </w:rPr>
            </w:pPr>
            <w:r>
              <w:rPr>
                <w:rFonts w:hint="eastAsia" w:ascii="宋体" w:hAnsi="宋体"/>
                <w:sz w:val="21"/>
                <w:szCs w:val="21"/>
              </w:rPr>
              <w:t>集成查看工具：查看数据集成项目的运行情况，可以对集成过程进行调试。</w:t>
            </w:r>
          </w:p>
          <w:p>
            <w:pPr>
              <w:spacing w:line="288" w:lineRule="auto"/>
              <w:ind w:firstLine="420" w:firstLineChars="200"/>
              <w:rPr>
                <w:rFonts w:ascii="宋体" w:hAnsi="宋体"/>
                <w:sz w:val="21"/>
                <w:szCs w:val="21"/>
              </w:rPr>
            </w:pPr>
            <w:r>
              <w:rPr>
                <w:rFonts w:hint="eastAsia" w:ascii="宋体" w:hAnsi="宋体"/>
                <w:sz w:val="21"/>
                <w:szCs w:val="21"/>
              </w:rPr>
              <w:t>集成调度工具：对各个数据集成同步任务进行调度控制，以此完成定制化的数据集成过程。</w:t>
            </w:r>
          </w:p>
          <w:p>
            <w:pPr>
              <w:spacing w:line="288" w:lineRule="auto"/>
              <w:rPr>
                <w:rFonts w:ascii="宋体" w:hAnsi="宋体"/>
                <w:b/>
                <w:bCs/>
                <w:sz w:val="21"/>
                <w:szCs w:val="21"/>
              </w:rPr>
            </w:pPr>
            <w:r>
              <w:rPr>
                <w:rFonts w:hint="eastAsia" w:ascii="宋体" w:hAnsi="宋体"/>
                <w:b/>
                <w:bCs/>
                <w:sz w:val="21"/>
                <w:szCs w:val="21"/>
              </w:rPr>
              <w:t>2.数据集成监控平台</w:t>
            </w:r>
          </w:p>
          <w:p>
            <w:pPr>
              <w:spacing w:line="288" w:lineRule="auto"/>
              <w:ind w:firstLine="420" w:firstLineChars="200"/>
              <w:rPr>
                <w:rFonts w:ascii="宋体" w:hAnsi="宋体"/>
                <w:sz w:val="21"/>
                <w:szCs w:val="21"/>
              </w:rPr>
            </w:pPr>
            <w:r>
              <w:rPr>
                <w:rFonts w:hint="eastAsia" w:ascii="宋体" w:hAnsi="宋体"/>
                <w:sz w:val="21"/>
                <w:szCs w:val="21"/>
              </w:rPr>
              <w:t>运行状态监视：监视当前运行项目的执行过程，掌握集成的运行结果情况，对项目的启动时间、停止时间、启动人等进行控制。</w:t>
            </w:r>
          </w:p>
          <w:p>
            <w:pPr>
              <w:spacing w:line="288" w:lineRule="auto"/>
              <w:ind w:firstLine="420" w:firstLineChars="200"/>
              <w:rPr>
                <w:rFonts w:ascii="宋体" w:hAnsi="宋体"/>
                <w:sz w:val="21"/>
                <w:szCs w:val="21"/>
              </w:rPr>
            </w:pPr>
            <w:r>
              <w:rPr>
                <w:rFonts w:hint="eastAsia" w:ascii="宋体" w:hAnsi="宋体"/>
                <w:sz w:val="21"/>
                <w:szCs w:val="21"/>
              </w:rPr>
              <w:t>开发信息展示：提供项目相关信息，便于了解项目的内容和相关情况，包括项目信息、相关模块信息、模块关联信息、集成数据量信息的展示。</w:t>
            </w:r>
          </w:p>
          <w:p>
            <w:pPr>
              <w:spacing w:line="288" w:lineRule="auto"/>
              <w:ind w:firstLine="420" w:firstLineChars="200"/>
              <w:rPr>
                <w:rFonts w:ascii="宋体" w:hAnsi="宋体"/>
                <w:sz w:val="21"/>
                <w:szCs w:val="21"/>
              </w:rPr>
            </w:pPr>
            <w:r>
              <w:rPr>
                <w:rFonts w:hint="eastAsia" w:ascii="宋体" w:hAnsi="宋体"/>
                <w:sz w:val="21"/>
                <w:szCs w:val="21"/>
              </w:rPr>
              <w:t>数据检查：对集成结果数据进行数据检查，检查内容包括目标结果记录数，非空记录数，数据完整性、准确性等。</w:t>
            </w:r>
          </w:p>
          <w:p>
            <w:pPr>
              <w:spacing w:line="288" w:lineRule="auto"/>
              <w:ind w:firstLine="420" w:firstLineChars="200"/>
              <w:rPr>
                <w:rFonts w:ascii="宋体" w:hAnsi="宋体"/>
                <w:sz w:val="21"/>
                <w:szCs w:val="21"/>
              </w:rPr>
            </w:pPr>
            <w:r>
              <w:rPr>
                <w:rFonts w:hint="eastAsia" w:ascii="宋体" w:hAnsi="宋体"/>
                <w:sz w:val="21"/>
                <w:szCs w:val="21"/>
              </w:rPr>
              <w:t>异常处理：能及时发现各种运行故障，提供异常信息的查看，并对异常数据量进行统计。</w:t>
            </w:r>
          </w:p>
          <w:p>
            <w:pPr>
              <w:spacing w:line="288" w:lineRule="auto"/>
              <w:ind w:firstLine="420" w:firstLineChars="200"/>
              <w:rPr>
                <w:rFonts w:ascii="宋体" w:hAnsi="宋体"/>
                <w:sz w:val="21"/>
                <w:szCs w:val="21"/>
              </w:rPr>
            </w:pPr>
            <w:r>
              <w:rPr>
                <w:rFonts w:hint="eastAsia" w:ascii="宋体" w:hAnsi="宋体"/>
                <w:sz w:val="21"/>
                <w:szCs w:val="21"/>
              </w:rPr>
              <w:t>任务控制：通过Web页面实现对集成任务的启停控制。</w:t>
            </w:r>
          </w:p>
          <w:p>
            <w:pPr>
              <w:spacing w:line="288" w:lineRule="auto"/>
              <w:ind w:firstLine="420" w:firstLineChars="200"/>
              <w:rPr>
                <w:rFonts w:ascii="宋体" w:hAnsi="宋体"/>
                <w:sz w:val="21"/>
                <w:szCs w:val="21"/>
              </w:rPr>
            </w:pPr>
            <w:r>
              <w:rPr>
                <w:rFonts w:hint="eastAsia" w:ascii="宋体" w:hAnsi="宋体"/>
                <w:sz w:val="21"/>
                <w:szCs w:val="21"/>
              </w:rPr>
              <w:t>警告通知：提供项目异常信息及集成环境的警告机制，可通过邮件及时报警。</w:t>
            </w:r>
          </w:p>
        </w:tc>
      </w:tr>
    </w:tbl>
    <w:p>
      <w:pPr>
        <w:spacing w:line="288" w:lineRule="auto"/>
        <w:rPr>
          <w:rFonts w:ascii="宋体" w:hAnsi="宋体"/>
          <w:b/>
          <w:bCs/>
          <w:sz w:val="21"/>
          <w:szCs w:val="21"/>
        </w:rPr>
      </w:pPr>
      <w:r>
        <w:rPr>
          <w:rFonts w:hint="eastAsia" w:ascii="宋体" w:hAnsi="宋体"/>
          <w:b/>
          <w:bCs/>
          <w:sz w:val="21"/>
          <w:szCs w:val="21"/>
        </w:rPr>
        <w:t>（三）项目实施与保障要求</w:t>
      </w:r>
    </w:p>
    <w:p>
      <w:pPr>
        <w:spacing w:line="288" w:lineRule="auto"/>
        <w:ind w:firstLine="420" w:firstLineChars="200"/>
        <w:rPr>
          <w:rFonts w:ascii="宋体" w:hAnsi="宋体"/>
          <w:sz w:val="21"/>
          <w:szCs w:val="21"/>
        </w:rPr>
      </w:pPr>
      <w:r>
        <w:rPr>
          <w:rFonts w:hint="eastAsia" w:ascii="宋体" w:hAnsi="宋体"/>
          <w:sz w:val="21"/>
          <w:szCs w:val="21"/>
        </w:rPr>
        <w:t>实施保障要求</w:t>
      </w:r>
    </w:p>
    <w:p>
      <w:pPr>
        <w:spacing w:line="288" w:lineRule="auto"/>
        <w:ind w:firstLine="420" w:firstLineChars="200"/>
        <w:rPr>
          <w:rFonts w:ascii="宋体" w:hAnsi="宋体"/>
          <w:sz w:val="21"/>
          <w:szCs w:val="21"/>
        </w:rPr>
      </w:pPr>
      <w:r>
        <w:rPr>
          <w:rFonts w:hint="eastAsia" w:ascii="宋体" w:hAnsi="宋体"/>
          <w:sz w:val="21"/>
          <w:szCs w:val="21"/>
        </w:rPr>
        <w:t>（1）投标方必须在投标文件中阐明项目实施计划，确定每个实施阶段的具体时间表及工作目标；提供项目组成员名单、职务、学历、经历，投标方在投标书中承诺的项目实施人员，必须直接到现场参与项目的实施。</w:t>
      </w:r>
    </w:p>
    <w:p>
      <w:pPr>
        <w:spacing w:line="288" w:lineRule="auto"/>
        <w:ind w:firstLine="420" w:firstLineChars="200"/>
        <w:rPr>
          <w:rFonts w:ascii="宋体" w:hAnsi="宋体"/>
          <w:sz w:val="21"/>
          <w:szCs w:val="21"/>
        </w:rPr>
      </w:pPr>
      <w:r>
        <w:rPr>
          <w:rFonts w:hint="eastAsia" w:ascii="宋体" w:hAnsi="宋体"/>
          <w:sz w:val="21"/>
          <w:szCs w:val="21"/>
        </w:rPr>
        <w:t>（2）在合同生效以后，对采购人认为其能力与本项目所要求的能力不相称而提出更换的项目负责人或者技术员，中标方必须予以更换；若中标方更换项目主要负责人或主要技术骨干必须书面报采购人同意后方可进行。</w:t>
      </w:r>
    </w:p>
    <w:p>
      <w:pPr>
        <w:spacing w:line="288" w:lineRule="auto"/>
        <w:rPr>
          <w:rFonts w:ascii="宋体" w:hAnsi="宋体"/>
          <w:b/>
          <w:bCs/>
          <w:sz w:val="21"/>
          <w:szCs w:val="21"/>
        </w:rPr>
      </w:pPr>
      <w:r>
        <w:rPr>
          <w:rFonts w:hint="eastAsia" w:ascii="宋体" w:hAnsi="宋体"/>
          <w:b/>
          <w:bCs/>
          <w:sz w:val="21"/>
          <w:szCs w:val="21"/>
        </w:rPr>
        <w:t>（四）对投标人的基本要求</w:t>
      </w:r>
    </w:p>
    <w:p>
      <w:pPr>
        <w:spacing w:line="288" w:lineRule="auto"/>
        <w:ind w:firstLine="420" w:firstLineChars="200"/>
        <w:rPr>
          <w:rFonts w:ascii="宋体" w:hAnsi="宋体"/>
          <w:sz w:val="21"/>
          <w:szCs w:val="21"/>
        </w:rPr>
      </w:pPr>
      <w:r>
        <w:rPr>
          <w:rFonts w:hint="eastAsia" w:ascii="宋体" w:hAnsi="宋体"/>
          <w:sz w:val="21"/>
          <w:szCs w:val="21"/>
        </w:rPr>
        <w:t>（1）项目启动后，中标方就应允许采购人以及相关的工作人员参与项目开发及系统整合本身必须的需求分析、初步设计、单元测试等相关工作。</w:t>
      </w:r>
    </w:p>
    <w:p>
      <w:pPr>
        <w:spacing w:line="288" w:lineRule="auto"/>
        <w:ind w:firstLine="420" w:firstLineChars="200"/>
        <w:rPr>
          <w:rFonts w:ascii="宋体" w:hAnsi="宋体"/>
          <w:sz w:val="21"/>
          <w:szCs w:val="21"/>
        </w:rPr>
      </w:pPr>
      <w:r>
        <w:rPr>
          <w:rFonts w:hint="eastAsia" w:ascii="宋体" w:hAnsi="宋体"/>
          <w:sz w:val="21"/>
          <w:szCs w:val="21"/>
        </w:rPr>
        <w:t>（2）中标方应负责在项目完成时将系统的全部有关技术文件（至少包括需求说明书、数据库结构、系统详细部署文档、后期应用系统相关接口等）、资料及测试、验收报告和系统测试使用的测试数据等文档汇集成册提交给采购人，并提供电子文档。</w:t>
      </w:r>
    </w:p>
    <w:p>
      <w:pPr>
        <w:spacing w:line="288" w:lineRule="auto"/>
        <w:ind w:firstLine="420" w:firstLineChars="200"/>
        <w:rPr>
          <w:rFonts w:ascii="宋体" w:hAnsi="宋体"/>
          <w:sz w:val="21"/>
          <w:szCs w:val="21"/>
        </w:rPr>
      </w:pPr>
      <w:r>
        <w:rPr>
          <w:rFonts w:hint="eastAsia" w:ascii="宋体" w:hAnsi="宋体"/>
          <w:sz w:val="21"/>
          <w:szCs w:val="21"/>
        </w:rPr>
        <w:t>（3）中标方应明确承诺在项目完成时对采购人技术人员进行运维、二次开发等涉及项目后续发展有关技术培训、支持的具体实施办法或目标，并提供公司签章的承诺书。</w:t>
      </w:r>
    </w:p>
    <w:p>
      <w:pPr>
        <w:spacing w:line="288" w:lineRule="auto"/>
        <w:ind w:firstLine="420" w:firstLineChars="200"/>
        <w:rPr>
          <w:rFonts w:ascii="宋体" w:hAnsi="宋体"/>
          <w:sz w:val="21"/>
          <w:szCs w:val="21"/>
        </w:rPr>
      </w:pPr>
      <w:r>
        <w:rPr>
          <w:rFonts w:hint="eastAsia" w:ascii="宋体" w:hAnsi="宋体"/>
          <w:sz w:val="21"/>
          <w:szCs w:val="21"/>
        </w:rPr>
        <w:t>（4）中标方对整个项目应具有完整的项目实施计划、详细的工作内容安排及过程控制和验收方案。</w:t>
      </w:r>
    </w:p>
    <w:p>
      <w:pPr>
        <w:spacing w:line="288" w:lineRule="auto"/>
        <w:rPr>
          <w:rFonts w:ascii="宋体" w:hAnsi="宋体"/>
          <w:b/>
          <w:bCs/>
          <w:sz w:val="21"/>
          <w:szCs w:val="21"/>
        </w:rPr>
      </w:pPr>
      <w:r>
        <w:rPr>
          <w:rFonts w:hint="eastAsia" w:ascii="宋体" w:hAnsi="宋体"/>
          <w:b/>
          <w:bCs/>
          <w:sz w:val="21"/>
          <w:szCs w:val="21"/>
        </w:rPr>
        <w:t>（五）数据集成要求</w:t>
      </w:r>
    </w:p>
    <w:p>
      <w:pPr>
        <w:spacing w:line="288" w:lineRule="auto"/>
        <w:ind w:firstLine="420" w:firstLineChars="200"/>
        <w:rPr>
          <w:rFonts w:ascii="宋体" w:hAnsi="宋体"/>
          <w:sz w:val="21"/>
          <w:szCs w:val="21"/>
        </w:rPr>
      </w:pPr>
      <w:r>
        <w:rPr>
          <w:rFonts w:hint="eastAsia" w:ascii="宋体" w:hAnsi="宋体"/>
          <w:sz w:val="21"/>
          <w:szCs w:val="21"/>
        </w:rPr>
        <w:t>平台涉及到的数据整合所产生的集成费用由中标方承担。</w:t>
      </w:r>
    </w:p>
    <w:p>
      <w:pPr>
        <w:spacing w:line="288" w:lineRule="auto"/>
        <w:rPr>
          <w:rFonts w:ascii="宋体" w:hAnsi="宋体"/>
          <w:b/>
          <w:bCs/>
          <w:sz w:val="21"/>
          <w:szCs w:val="21"/>
        </w:rPr>
      </w:pPr>
      <w:r>
        <w:rPr>
          <w:rFonts w:hint="eastAsia" w:ascii="宋体" w:hAnsi="宋体"/>
          <w:b/>
          <w:bCs/>
          <w:sz w:val="21"/>
          <w:szCs w:val="21"/>
        </w:rPr>
        <w:t>（六）项目人员配置要求</w:t>
      </w:r>
    </w:p>
    <w:p>
      <w:pPr>
        <w:spacing w:line="288" w:lineRule="auto"/>
        <w:ind w:firstLine="420" w:firstLineChars="200"/>
        <w:rPr>
          <w:rFonts w:ascii="宋体" w:hAnsi="宋体"/>
          <w:sz w:val="21"/>
          <w:szCs w:val="21"/>
        </w:rPr>
      </w:pPr>
      <w:r>
        <w:rPr>
          <w:rFonts w:hint="eastAsia" w:ascii="宋体" w:hAnsi="宋体"/>
          <w:sz w:val="21"/>
          <w:szCs w:val="21"/>
        </w:rPr>
        <w:t>（1）中标方必须成立合理的组织机构，建立健全保障项目顺利实施的各项管理制度和质量保证体系，安排好足够的高素质人才参加本项目的建设；在项目机构中应明确各岗位的职责、任职资格及成果，确保工程顺利实施。根据工作的业务性质，应配备由项目经理带队的4人及以上的项目实施团队驻场承担本项目工作。为了保证项目实施的连续性，在项目实施过程中，至少保证2名以上核心技术人员不能更换；质保期内，视项目现场需求，至少保证1名核心技术人员驻场服务。</w:t>
      </w:r>
    </w:p>
    <w:p>
      <w:pPr>
        <w:spacing w:line="288" w:lineRule="auto"/>
        <w:ind w:firstLine="420" w:firstLineChars="200"/>
        <w:rPr>
          <w:rFonts w:ascii="宋体" w:hAnsi="宋体"/>
          <w:sz w:val="21"/>
          <w:szCs w:val="21"/>
        </w:rPr>
      </w:pPr>
      <w:r>
        <w:rPr>
          <w:rFonts w:hint="eastAsia" w:ascii="宋体" w:hAnsi="宋体"/>
          <w:sz w:val="21"/>
          <w:szCs w:val="21"/>
        </w:rPr>
        <w:t>（2）中标方需在华东地区设立公司或承诺中标后在杭州设立办事机构，保证能在本地提供持续的服务，并提供相关证明和承诺书。</w:t>
      </w:r>
    </w:p>
    <w:p>
      <w:pPr>
        <w:spacing w:line="288" w:lineRule="auto"/>
        <w:ind w:firstLine="420" w:firstLineChars="200"/>
        <w:rPr>
          <w:rFonts w:ascii="宋体" w:hAnsi="宋体"/>
          <w:sz w:val="21"/>
          <w:szCs w:val="21"/>
        </w:rPr>
      </w:pPr>
      <w:r>
        <w:rPr>
          <w:rFonts w:hint="eastAsia" w:ascii="宋体" w:hAnsi="宋体"/>
          <w:sz w:val="21"/>
          <w:szCs w:val="21"/>
        </w:rPr>
        <w:t>（3）项目经理且至少担任过3个类似项目的建设工作，项目组人员必须具有类似职责的集成、开发经验，能够与用户进行良好的沟通，并掌握数字校园领域的相关基础知识，且至少参与过2个类似项目的建设。</w:t>
      </w:r>
    </w:p>
    <w:p>
      <w:pPr>
        <w:spacing w:line="288" w:lineRule="auto"/>
        <w:ind w:firstLine="420" w:firstLineChars="200"/>
        <w:rPr>
          <w:rFonts w:ascii="宋体" w:hAnsi="宋体"/>
          <w:sz w:val="21"/>
          <w:szCs w:val="21"/>
        </w:rPr>
      </w:pPr>
      <w:r>
        <w:rPr>
          <w:rFonts w:hint="eastAsia" w:ascii="宋体" w:hAnsi="宋体"/>
          <w:sz w:val="21"/>
          <w:szCs w:val="21"/>
        </w:rPr>
        <w:t>（4）在建设期内，项目管理负责人应在接到学校通知2小时内到达学校现场处理问题或交流情况。</w:t>
      </w:r>
    </w:p>
    <w:p>
      <w:pPr>
        <w:spacing w:line="288" w:lineRule="auto"/>
        <w:rPr>
          <w:rFonts w:ascii="宋体" w:hAnsi="宋体"/>
          <w:b/>
          <w:bCs/>
          <w:sz w:val="21"/>
          <w:szCs w:val="21"/>
        </w:rPr>
      </w:pPr>
      <w:r>
        <w:rPr>
          <w:rFonts w:hint="eastAsia" w:ascii="宋体" w:hAnsi="宋体"/>
          <w:b/>
          <w:bCs/>
          <w:sz w:val="21"/>
          <w:szCs w:val="21"/>
        </w:rPr>
        <w:t>（七）开发管理要求</w:t>
      </w:r>
    </w:p>
    <w:p>
      <w:pPr>
        <w:spacing w:line="288" w:lineRule="auto"/>
        <w:ind w:firstLine="420" w:firstLineChars="200"/>
        <w:rPr>
          <w:rFonts w:ascii="宋体" w:hAnsi="宋体"/>
          <w:sz w:val="21"/>
          <w:szCs w:val="21"/>
        </w:rPr>
      </w:pPr>
      <w:r>
        <w:rPr>
          <w:rFonts w:hint="eastAsia" w:ascii="宋体" w:hAnsi="宋体"/>
          <w:sz w:val="21"/>
          <w:szCs w:val="21"/>
        </w:rPr>
        <w:t>对项目的建设进行科学严格的管理，该项目的管理要通过项目管理委员会组织对项目进行系统计划、有序组织、科学指导和有效控制，促进项目全面顺利实施。</w:t>
      </w:r>
    </w:p>
    <w:p>
      <w:pPr>
        <w:spacing w:line="288" w:lineRule="auto"/>
        <w:rPr>
          <w:rFonts w:ascii="宋体" w:hAnsi="宋体"/>
          <w:b/>
          <w:bCs/>
          <w:sz w:val="21"/>
          <w:szCs w:val="21"/>
        </w:rPr>
      </w:pPr>
      <w:r>
        <w:rPr>
          <w:rFonts w:hint="eastAsia" w:ascii="宋体" w:hAnsi="宋体"/>
          <w:b/>
          <w:bCs/>
          <w:sz w:val="21"/>
          <w:szCs w:val="21"/>
        </w:rPr>
        <w:t>（八）文档管理要求</w:t>
      </w:r>
    </w:p>
    <w:p>
      <w:pPr>
        <w:spacing w:line="288" w:lineRule="auto"/>
        <w:ind w:firstLine="420" w:firstLineChars="200"/>
        <w:rPr>
          <w:rFonts w:ascii="宋体" w:hAnsi="宋体"/>
          <w:sz w:val="21"/>
          <w:szCs w:val="21"/>
        </w:rPr>
      </w:pPr>
      <w:r>
        <w:rPr>
          <w:rFonts w:hint="eastAsia" w:ascii="宋体" w:hAnsi="宋体"/>
          <w:sz w:val="21"/>
          <w:szCs w:val="21"/>
        </w:rPr>
        <w:t>根据开发进度及时提供有关开发文档，包括需求说明书、系统设计说明书、测试计划、测试分析报告、系统部署手册、操作手册、系统安装手册等；</w:t>
      </w:r>
    </w:p>
    <w:p>
      <w:pPr>
        <w:spacing w:line="288" w:lineRule="auto"/>
        <w:rPr>
          <w:rFonts w:ascii="宋体" w:hAnsi="宋体"/>
          <w:b/>
          <w:bCs/>
          <w:sz w:val="21"/>
          <w:szCs w:val="21"/>
        </w:rPr>
      </w:pPr>
      <w:r>
        <w:rPr>
          <w:rFonts w:hint="eastAsia" w:ascii="宋体" w:hAnsi="宋体"/>
          <w:b/>
          <w:bCs/>
          <w:sz w:val="21"/>
          <w:szCs w:val="21"/>
        </w:rPr>
        <w:t>（九）用户培训要求</w:t>
      </w:r>
    </w:p>
    <w:p>
      <w:pPr>
        <w:spacing w:line="288" w:lineRule="auto"/>
        <w:ind w:firstLine="420" w:firstLineChars="200"/>
        <w:rPr>
          <w:rFonts w:ascii="宋体" w:hAnsi="宋体"/>
          <w:sz w:val="21"/>
          <w:szCs w:val="21"/>
        </w:rPr>
      </w:pPr>
      <w:r>
        <w:rPr>
          <w:rFonts w:hint="eastAsia" w:ascii="宋体" w:hAnsi="宋体"/>
          <w:sz w:val="21"/>
          <w:szCs w:val="21"/>
        </w:rPr>
        <w:t>用户培训应贯串于整个项目的实施过程中，包括从项目准备、研发到项目运行的全过程中。提供详细的培训方案、培训内容、培训计划、人员数目、开发工具、软件使用、后期维护。</w:t>
      </w:r>
    </w:p>
    <w:p>
      <w:pPr>
        <w:spacing w:line="288" w:lineRule="auto"/>
        <w:rPr>
          <w:rFonts w:ascii="宋体" w:hAnsi="宋体"/>
          <w:b/>
          <w:bCs/>
          <w:sz w:val="21"/>
          <w:szCs w:val="21"/>
        </w:rPr>
      </w:pPr>
      <w:r>
        <w:rPr>
          <w:rFonts w:hint="eastAsia" w:ascii="宋体" w:hAnsi="宋体"/>
          <w:b/>
          <w:bCs/>
          <w:sz w:val="21"/>
          <w:szCs w:val="21"/>
        </w:rPr>
        <w:t>（十）运行管理培训</w:t>
      </w:r>
    </w:p>
    <w:p>
      <w:pPr>
        <w:spacing w:line="288" w:lineRule="auto"/>
        <w:ind w:firstLine="420" w:firstLineChars="200"/>
        <w:rPr>
          <w:rFonts w:ascii="宋体" w:hAnsi="宋体"/>
          <w:sz w:val="21"/>
          <w:szCs w:val="21"/>
        </w:rPr>
      </w:pPr>
      <w:r>
        <w:rPr>
          <w:rFonts w:hint="eastAsia" w:ascii="宋体" w:hAnsi="宋体"/>
          <w:sz w:val="21"/>
          <w:szCs w:val="21"/>
        </w:rPr>
        <w:t>为了使中国美术学院的相关人员掌握有关应用系统的使用、维护和管理方法，达到能独立进行管理、故障处理、日常测试和维护等工作的目的，应进行系统的技术培训，以保证所建设的系统能够正常、安全、平稳地运行。运行管理培训的对象除了信息与网络管理中心的人员外，还包括校内各单位的信息管理员。</w:t>
      </w:r>
    </w:p>
    <w:p>
      <w:pPr>
        <w:spacing w:line="288" w:lineRule="auto"/>
        <w:rPr>
          <w:rFonts w:ascii="宋体" w:hAnsi="宋体"/>
          <w:b/>
          <w:bCs/>
          <w:sz w:val="21"/>
          <w:szCs w:val="21"/>
        </w:rPr>
      </w:pPr>
      <w:r>
        <w:rPr>
          <w:rFonts w:hint="eastAsia" w:ascii="宋体" w:hAnsi="宋体"/>
          <w:b/>
          <w:bCs/>
          <w:sz w:val="21"/>
          <w:szCs w:val="21"/>
        </w:rPr>
        <w:t>（十一）培训要求</w:t>
      </w:r>
    </w:p>
    <w:p>
      <w:pPr>
        <w:spacing w:line="288" w:lineRule="auto"/>
        <w:ind w:firstLine="420" w:firstLineChars="200"/>
        <w:rPr>
          <w:rFonts w:ascii="宋体" w:hAnsi="宋体"/>
          <w:sz w:val="21"/>
          <w:szCs w:val="21"/>
        </w:rPr>
      </w:pPr>
      <w:r>
        <w:rPr>
          <w:rFonts w:hint="eastAsia" w:ascii="宋体" w:hAnsi="宋体"/>
          <w:sz w:val="21"/>
          <w:szCs w:val="21"/>
        </w:rPr>
        <w:t>培训教师应具有丰富的同类课程的教学经验和应用实践经验，中文授课；</w:t>
      </w:r>
    </w:p>
    <w:p>
      <w:pPr>
        <w:spacing w:line="288" w:lineRule="auto"/>
        <w:ind w:firstLine="420" w:firstLineChars="200"/>
        <w:rPr>
          <w:rFonts w:ascii="宋体" w:hAnsi="宋体"/>
          <w:sz w:val="21"/>
          <w:szCs w:val="21"/>
        </w:rPr>
      </w:pPr>
      <w:r>
        <w:rPr>
          <w:rFonts w:hint="eastAsia" w:ascii="宋体" w:hAnsi="宋体"/>
          <w:sz w:val="21"/>
          <w:szCs w:val="21"/>
        </w:rPr>
        <w:t>为所有被培训人员提供培训用文字资料和讲义等相关材料。如果培训地点在外地，中标方还应承诺为所有被培训人员提供食宿，并按合同规定安排培训时间和培训名额。</w:t>
      </w:r>
    </w:p>
    <w:p>
      <w:pPr>
        <w:spacing w:line="288" w:lineRule="auto"/>
        <w:ind w:firstLine="420" w:firstLineChars="200"/>
        <w:rPr>
          <w:rFonts w:ascii="宋体" w:hAnsi="宋体"/>
          <w:sz w:val="21"/>
          <w:szCs w:val="21"/>
        </w:rPr>
      </w:pPr>
      <w:r>
        <w:rPr>
          <w:rFonts w:hint="eastAsia" w:ascii="宋体" w:hAnsi="宋体"/>
          <w:sz w:val="21"/>
          <w:szCs w:val="21"/>
        </w:rPr>
        <w:t>培训方式为课堂讲解、实际操作、专题交流、现场实施指导等。</w:t>
      </w:r>
    </w:p>
    <w:p>
      <w:pPr>
        <w:spacing w:line="288" w:lineRule="auto"/>
        <w:ind w:firstLine="420" w:firstLineChars="200"/>
        <w:rPr>
          <w:rFonts w:ascii="宋体" w:hAnsi="宋体"/>
          <w:sz w:val="21"/>
          <w:szCs w:val="21"/>
        </w:rPr>
      </w:pPr>
      <w:r>
        <w:rPr>
          <w:rFonts w:hint="eastAsia" w:ascii="宋体" w:hAnsi="宋体"/>
          <w:sz w:val="21"/>
          <w:szCs w:val="21"/>
        </w:rPr>
        <w:t>培训内容由中标方根据项目需求向采购人提供有针对性的培训内容，以确保相关人员能够使用、维护项目成果。</w:t>
      </w:r>
    </w:p>
    <w:p>
      <w:pPr>
        <w:spacing w:line="288" w:lineRule="auto"/>
        <w:rPr>
          <w:rFonts w:ascii="宋体" w:hAnsi="宋体"/>
          <w:b/>
          <w:bCs/>
          <w:sz w:val="21"/>
          <w:szCs w:val="21"/>
        </w:rPr>
      </w:pPr>
      <w:r>
        <w:rPr>
          <w:rFonts w:hint="eastAsia" w:ascii="宋体" w:hAnsi="宋体"/>
          <w:b/>
          <w:bCs/>
          <w:sz w:val="21"/>
          <w:szCs w:val="21"/>
        </w:rPr>
        <w:t>注：</w:t>
      </w:r>
    </w:p>
    <w:p>
      <w:pPr>
        <w:spacing w:line="288" w:lineRule="auto"/>
        <w:rPr>
          <w:rFonts w:ascii="宋体" w:hAnsi="宋体"/>
          <w:b/>
          <w:bCs/>
          <w:sz w:val="21"/>
          <w:szCs w:val="21"/>
        </w:rPr>
      </w:pPr>
      <w:r>
        <w:rPr>
          <w:rFonts w:hint="eastAsia" w:ascii="宋体" w:hAnsi="宋体"/>
          <w:b/>
          <w:bCs/>
          <w:sz w:val="21"/>
          <w:szCs w:val="21"/>
        </w:rPr>
        <w:t>1.本项目要求现场演示，演示内容仅限于招标需求，演示功能包括以下内容：</w:t>
      </w:r>
    </w:p>
    <w:tbl>
      <w:tblPr>
        <w:tblStyle w:val="28"/>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演示项</w:t>
            </w:r>
          </w:p>
        </w:tc>
        <w:tc>
          <w:tcPr>
            <w:tcW w:w="7815" w:type="dxa"/>
            <w:vAlign w:val="center"/>
          </w:tcPr>
          <w:p>
            <w:pPr>
              <w:spacing w:line="288" w:lineRule="auto"/>
              <w:jc w:val="center"/>
              <w:rPr>
                <w:rFonts w:ascii="宋体" w:hAnsi="宋体"/>
                <w:sz w:val="21"/>
                <w:szCs w:val="21"/>
              </w:rPr>
            </w:pPr>
            <w:r>
              <w:rPr>
                <w:rFonts w:hint="eastAsia" w:ascii="宋体" w:hAnsi="宋体"/>
                <w:sz w:val="21"/>
                <w:szCs w:val="21"/>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报表展现</w:t>
            </w:r>
          </w:p>
        </w:tc>
        <w:tc>
          <w:tcPr>
            <w:tcW w:w="7815" w:type="dxa"/>
            <w:vAlign w:val="center"/>
          </w:tcPr>
          <w:p>
            <w:pPr>
              <w:spacing w:line="288" w:lineRule="auto"/>
              <w:rPr>
                <w:rFonts w:ascii="宋体" w:hAnsi="宋体"/>
                <w:sz w:val="21"/>
                <w:szCs w:val="21"/>
              </w:rPr>
            </w:pPr>
            <w:r>
              <w:rPr>
                <w:rFonts w:hint="eastAsia" w:ascii="宋体" w:hAnsi="宋体"/>
                <w:sz w:val="21"/>
                <w:szCs w:val="21"/>
              </w:rPr>
              <w:t>实现图表联动，数据下钻。同一报表支持预览、填报、分析等多种展现方式、移动报表端支持。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报表的输出与打印</w:t>
            </w:r>
          </w:p>
        </w:tc>
        <w:tc>
          <w:tcPr>
            <w:tcW w:w="7815" w:type="dxa"/>
            <w:vAlign w:val="center"/>
          </w:tcPr>
          <w:p>
            <w:pPr>
              <w:spacing w:line="288" w:lineRule="auto"/>
              <w:rPr>
                <w:rFonts w:ascii="宋体" w:hAnsi="宋体"/>
                <w:sz w:val="21"/>
                <w:szCs w:val="21"/>
              </w:rPr>
            </w:pPr>
            <w:r>
              <w:rPr>
                <w:rFonts w:hint="eastAsia" w:ascii="宋体" w:hAnsi="宋体"/>
                <w:sz w:val="21"/>
                <w:szCs w:val="21"/>
              </w:rPr>
              <w:t>演示excel数据导入，分析演示原样导出、分页导出、分页分sheet导出；</w:t>
            </w:r>
          </w:p>
          <w:p>
            <w:pPr>
              <w:spacing w:line="288" w:lineRule="auto"/>
              <w:rPr>
                <w:rFonts w:ascii="宋体" w:hAnsi="宋体"/>
                <w:sz w:val="21"/>
                <w:szCs w:val="21"/>
              </w:rPr>
            </w:pPr>
            <w:r>
              <w:rPr>
                <w:rFonts w:hint="eastAsia" w:ascii="宋体" w:hAnsi="宋体"/>
                <w:sz w:val="21"/>
                <w:szCs w:val="21"/>
              </w:rPr>
              <w:t>演示报表导出为图片、pdf、word、csv、svg、txt和内置数据集等格式的文件，演示falsh打印、pdf打印和applet打印方式。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报表管理及权限管理</w:t>
            </w:r>
          </w:p>
        </w:tc>
        <w:tc>
          <w:tcPr>
            <w:tcW w:w="7815" w:type="dxa"/>
            <w:vAlign w:val="center"/>
          </w:tcPr>
          <w:p>
            <w:pPr>
              <w:spacing w:line="288" w:lineRule="auto"/>
              <w:rPr>
                <w:rFonts w:ascii="宋体" w:hAnsi="宋体"/>
                <w:sz w:val="21"/>
                <w:szCs w:val="21"/>
              </w:rPr>
            </w:pPr>
            <w:r>
              <w:rPr>
                <w:rFonts w:hint="eastAsia" w:ascii="宋体" w:hAnsi="宋体"/>
                <w:sz w:val="21"/>
                <w:szCs w:val="21"/>
              </w:rPr>
              <w:t>演示报表系统的权限管理、分级授权、报表查看权限，报表数据权限。</w:t>
            </w:r>
          </w:p>
          <w:p>
            <w:pPr>
              <w:spacing w:line="288" w:lineRule="auto"/>
              <w:rPr>
                <w:rFonts w:ascii="宋体" w:hAnsi="宋体"/>
                <w:sz w:val="21"/>
                <w:szCs w:val="21"/>
              </w:rPr>
            </w:pPr>
            <w:r>
              <w:rPr>
                <w:rFonts w:hint="eastAsia" w:ascii="宋体" w:hAnsi="宋体"/>
                <w:sz w:val="21"/>
                <w:szCs w:val="21"/>
              </w:rPr>
              <w:t>演示系统在线人数统计、报表访问次数和方式的数据监控功能。对平台进行自定义设置，可以设置登录界面、平台标题、平台主页、平台横幅和背景等。</w:t>
            </w:r>
          </w:p>
          <w:p>
            <w:pPr>
              <w:spacing w:line="288" w:lineRule="auto"/>
              <w:rPr>
                <w:rFonts w:ascii="宋体" w:hAnsi="宋体"/>
                <w:sz w:val="21"/>
                <w:szCs w:val="21"/>
              </w:rPr>
            </w:pPr>
            <w:r>
              <w:rPr>
                <w:rFonts w:hint="eastAsia" w:ascii="宋体" w:hAnsi="宋体"/>
                <w:sz w:val="21"/>
                <w:szCs w:val="21"/>
              </w:rPr>
              <w:t>权限粗粒度控制（模板访问控制），基于角色、职务、用户等多种方式进行访问控制。</w:t>
            </w:r>
          </w:p>
          <w:p>
            <w:pPr>
              <w:spacing w:line="288" w:lineRule="auto"/>
              <w:rPr>
                <w:rFonts w:ascii="宋体" w:hAnsi="宋体"/>
                <w:sz w:val="21"/>
                <w:szCs w:val="21"/>
              </w:rPr>
            </w:pPr>
            <w:r>
              <w:rPr>
                <w:rFonts w:hint="eastAsia" w:ascii="宋体" w:hAnsi="宋体"/>
                <w:sz w:val="21"/>
                <w:szCs w:val="21"/>
              </w:rPr>
              <w:t>权限细粒度控制(模板内容控制)，对单元格内容数据、控件、隐藏行列、工具栏、sheet、表单等，不同的角色用户登录系统，看到的、操作的报表内容不一样。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二次开发</w:t>
            </w:r>
          </w:p>
        </w:tc>
        <w:tc>
          <w:tcPr>
            <w:tcW w:w="7815" w:type="dxa"/>
            <w:vAlign w:val="center"/>
          </w:tcPr>
          <w:p>
            <w:pPr>
              <w:spacing w:line="288" w:lineRule="auto"/>
              <w:rPr>
                <w:rFonts w:ascii="宋体" w:hAnsi="宋体"/>
                <w:sz w:val="21"/>
                <w:szCs w:val="21"/>
              </w:rPr>
            </w:pPr>
            <w:r>
              <w:rPr>
                <w:rFonts w:hint="eastAsia" w:ascii="宋体" w:hAnsi="宋体"/>
                <w:sz w:val="21"/>
                <w:szCs w:val="21"/>
              </w:rPr>
              <w:t>演示基于报表系统开发的智能分析平台与平台的融合效果。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报表设计</w:t>
            </w:r>
          </w:p>
        </w:tc>
        <w:tc>
          <w:tcPr>
            <w:tcW w:w="7815" w:type="dxa"/>
            <w:vAlign w:val="center"/>
          </w:tcPr>
          <w:p>
            <w:pPr>
              <w:spacing w:line="288" w:lineRule="auto"/>
              <w:rPr>
                <w:rFonts w:ascii="宋体" w:hAnsi="宋体"/>
                <w:sz w:val="21"/>
                <w:szCs w:val="21"/>
              </w:rPr>
            </w:pPr>
            <w:r>
              <w:rPr>
                <w:rFonts w:hint="eastAsia" w:ascii="宋体" w:hAnsi="宋体"/>
                <w:sz w:val="21"/>
                <w:szCs w:val="21"/>
              </w:rPr>
              <w:t>演示类excel的报表设计方式，图表多样性，演示数据可以来自于多个不同的数据源，多个不同物理数据库，或不同类型的数据源。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易开发性</w:t>
            </w:r>
          </w:p>
        </w:tc>
        <w:tc>
          <w:tcPr>
            <w:tcW w:w="7815" w:type="dxa"/>
            <w:vAlign w:val="center"/>
          </w:tcPr>
          <w:p>
            <w:pPr>
              <w:spacing w:line="288" w:lineRule="auto"/>
              <w:rPr>
                <w:rFonts w:ascii="宋体" w:hAnsi="宋体"/>
                <w:sz w:val="21"/>
                <w:szCs w:val="21"/>
              </w:rPr>
            </w:pPr>
            <w:r>
              <w:rPr>
                <w:rFonts w:hint="eastAsia" w:ascii="宋体" w:hAnsi="宋体"/>
                <w:sz w:val="21"/>
                <w:szCs w:val="21"/>
              </w:rPr>
              <w:t>演示基于插件的报表动态功能扩展及远程开发、热部署。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532" w:type="dxa"/>
            <w:vAlign w:val="center"/>
          </w:tcPr>
          <w:p>
            <w:pPr>
              <w:spacing w:line="288" w:lineRule="auto"/>
              <w:jc w:val="center"/>
              <w:rPr>
                <w:rFonts w:ascii="宋体" w:hAnsi="宋体"/>
                <w:sz w:val="21"/>
                <w:szCs w:val="21"/>
              </w:rPr>
            </w:pPr>
            <w:r>
              <w:rPr>
                <w:rFonts w:hint="eastAsia" w:ascii="宋体" w:hAnsi="宋体"/>
                <w:sz w:val="21"/>
                <w:szCs w:val="21"/>
              </w:rPr>
              <w:t>多屏报表扩展</w:t>
            </w:r>
          </w:p>
        </w:tc>
        <w:tc>
          <w:tcPr>
            <w:tcW w:w="7815" w:type="dxa"/>
            <w:vAlign w:val="center"/>
          </w:tcPr>
          <w:p>
            <w:pPr>
              <w:spacing w:line="288" w:lineRule="auto"/>
              <w:rPr>
                <w:rFonts w:ascii="宋体" w:hAnsi="宋体"/>
                <w:sz w:val="21"/>
                <w:szCs w:val="21"/>
              </w:rPr>
            </w:pPr>
            <w:r>
              <w:rPr>
                <w:rFonts w:hint="eastAsia" w:ascii="宋体" w:hAnsi="宋体"/>
                <w:sz w:val="21"/>
                <w:szCs w:val="21"/>
              </w:rPr>
              <w:t>演示移动端、PAD端及电脑端的报表兼容性，演示微信企业号对接。</w:t>
            </w:r>
          </w:p>
        </w:tc>
      </w:tr>
    </w:tbl>
    <w:p>
      <w:pPr>
        <w:spacing w:line="288" w:lineRule="auto"/>
        <w:rPr>
          <w:rFonts w:ascii="宋体" w:hAnsi="宋体"/>
          <w:b/>
          <w:bCs/>
          <w:sz w:val="21"/>
          <w:szCs w:val="21"/>
        </w:rPr>
      </w:pPr>
      <w:r>
        <w:rPr>
          <w:rFonts w:hint="eastAsia" w:ascii="宋体" w:hAnsi="宋体"/>
          <w:b/>
          <w:bCs/>
          <w:sz w:val="21"/>
          <w:szCs w:val="21"/>
        </w:rPr>
        <w:t>2.演示时间：20分钟；</w:t>
      </w:r>
    </w:p>
    <w:p>
      <w:pPr>
        <w:spacing w:line="288" w:lineRule="auto"/>
        <w:rPr>
          <w:rFonts w:ascii="宋体" w:hAnsi="宋体"/>
          <w:b/>
          <w:bCs/>
          <w:sz w:val="21"/>
          <w:szCs w:val="21"/>
        </w:rPr>
      </w:pPr>
      <w:r>
        <w:rPr>
          <w:rFonts w:hint="eastAsia" w:ascii="宋体" w:hAnsi="宋体"/>
          <w:b/>
          <w:bCs/>
          <w:sz w:val="21"/>
          <w:szCs w:val="21"/>
        </w:rPr>
        <w:t>3.投标人需自备设备、网络搭建演示所需环境，如未进行现场演示其现场演示分为零分。</w:t>
      </w:r>
    </w:p>
    <w:p>
      <w:pPr>
        <w:spacing w:line="360" w:lineRule="auto"/>
        <w:rPr>
          <w:rFonts w:ascii="宋体" w:hAnsi="宋体"/>
          <w:b/>
          <w:sz w:val="21"/>
          <w:szCs w:val="21"/>
        </w:rPr>
      </w:pPr>
      <w:r>
        <w:rPr>
          <w:rFonts w:ascii="宋体" w:hAnsi="宋体"/>
          <w:b/>
          <w:szCs w:val="28"/>
        </w:rPr>
        <w:br w:type="page"/>
      </w:r>
      <w:r>
        <w:rPr>
          <w:rFonts w:hint="eastAsia" w:ascii="宋体" w:hAnsi="宋体"/>
          <w:b/>
          <w:szCs w:val="28"/>
        </w:rPr>
        <w:t>二、</w:t>
      </w:r>
      <w:r>
        <w:rPr>
          <w:rFonts w:ascii="宋体" w:hAnsi="宋体"/>
          <w:b/>
          <w:spacing w:val="-6"/>
          <w:szCs w:val="28"/>
        </w:rPr>
        <w:t>商务要求表</w:t>
      </w:r>
      <w:r>
        <w:rPr>
          <w:rFonts w:hint="eastAsia" w:ascii="宋体" w:hAnsi="宋体"/>
          <w:spacing w:val="-6"/>
          <w:sz w:val="21"/>
          <w:szCs w:val="21"/>
        </w:rPr>
        <w:t>（招标需求里另有注明的以招标需求为准）</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3"/>
        <w:gridCol w:w="7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免费维护期</w:t>
            </w:r>
          </w:p>
        </w:tc>
        <w:tc>
          <w:tcPr>
            <w:tcW w:w="704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交付时间及地点</w:t>
            </w:r>
          </w:p>
        </w:tc>
        <w:tc>
          <w:tcPr>
            <w:tcW w:w="70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pacing w:val="-6"/>
                <w:sz w:val="21"/>
                <w:szCs w:val="21"/>
              </w:rPr>
            </w:pPr>
            <w:r>
              <w:rPr>
                <w:rFonts w:hint="eastAsia" w:ascii="宋体" w:hAnsi="宋体"/>
                <w:spacing w:val="-6"/>
                <w:sz w:val="21"/>
                <w:szCs w:val="21"/>
              </w:rPr>
              <w:t>1、交付时间：合同签订后</w:t>
            </w:r>
            <w:r>
              <w:rPr>
                <w:rFonts w:ascii="宋体" w:hAnsi="宋体"/>
                <w:spacing w:val="-6"/>
                <w:sz w:val="21"/>
                <w:szCs w:val="21"/>
              </w:rPr>
              <w:t>30</w:t>
            </w:r>
            <w:r>
              <w:rPr>
                <w:rFonts w:hint="eastAsia" w:ascii="宋体" w:hAnsi="宋体"/>
                <w:spacing w:val="-6"/>
                <w:sz w:val="21"/>
                <w:szCs w:val="21"/>
              </w:rPr>
              <w:t>天</w:t>
            </w:r>
            <w:r>
              <w:rPr>
                <w:rFonts w:ascii="宋体" w:hAnsi="宋体"/>
                <w:spacing w:val="-6"/>
                <w:sz w:val="21"/>
                <w:szCs w:val="21"/>
              </w:rPr>
              <w:t>内</w:t>
            </w:r>
            <w:r>
              <w:rPr>
                <w:rFonts w:hint="eastAsia" w:ascii="宋体" w:hAnsi="宋体"/>
                <w:spacing w:val="-6"/>
                <w:sz w:val="21"/>
                <w:szCs w:val="21"/>
              </w:rPr>
              <w:t>交付使用。</w:t>
            </w:r>
          </w:p>
          <w:p>
            <w:pPr>
              <w:snapToGrid w:val="0"/>
              <w:spacing w:line="288" w:lineRule="auto"/>
              <w:rPr>
                <w:rFonts w:ascii="宋体" w:hAnsi="宋体"/>
                <w:spacing w:val="-6"/>
                <w:sz w:val="21"/>
                <w:szCs w:val="21"/>
              </w:rPr>
            </w:pPr>
            <w:r>
              <w:rPr>
                <w:rFonts w:hint="eastAsia" w:ascii="宋体" w:hAnsi="宋体"/>
                <w:spacing w:val="-6"/>
                <w:sz w:val="21"/>
                <w:szCs w:val="21"/>
              </w:rPr>
              <w:t>2、地点：采购人指定地点。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付款条件</w:t>
            </w:r>
          </w:p>
        </w:tc>
        <w:tc>
          <w:tcPr>
            <w:tcW w:w="704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szCs w:val="21"/>
              </w:rPr>
            </w:pPr>
            <w:r>
              <w:rPr>
                <w:rFonts w:hint="eastAsia" w:ascii="宋体" w:hAnsi="宋体"/>
                <w:color w:val="auto"/>
                <w:spacing w:val="-6"/>
                <w:sz w:val="21"/>
                <w:szCs w:val="21"/>
              </w:rPr>
              <w:t>付款方式及质量保证金：</w:t>
            </w:r>
          </w:p>
          <w:p>
            <w:pPr>
              <w:spacing w:line="288" w:lineRule="auto"/>
              <w:rPr>
                <w:rFonts w:ascii="宋体" w:hAnsi="宋体"/>
                <w:color w:val="auto"/>
                <w:spacing w:val="-6"/>
                <w:sz w:val="21"/>
                <w:szCs w:val="21"/>
              </w:rPr>
            </w:pPr>
            <w:r>
              <w:rPr>
                <w:rFonts w:hint="eastAsia" w:ascii="宋体" w:hAnsi="宋体"/>
                <w:color w:val="auto"/>
                <w:spacing w:val="-6"/>
                <w:sz w:val="21"/>
                <w:szCs w:val="21"/>
              </w:rPr>
              <w:t>1、合同签订后，采购人支付20%费用</w:t>
            </w:r>
            <w:r>
              <w:rPr>
                <w:rFonts w:hint="eastAsia" w:ascii="宋体" w:hAnsi="宋体"/>
                <w:color w:val="auto"/>
                <w:spacing w:val="-6"/>
                <w:sz w:val="21"/>
                <w:szCs w:val="21"/>
                <w:lang w:eastAsia="zh-CN"/>
              </w:rPr>
              <w:t>，</w:t>
            </w:r>
            <w:r>
              <w:rPr>
                <w:rFonts w:hint="eastAsia" w:ascii="宋体" w:hAnsi="宋体"/>
                <w:color w:val="auto"/>
                <w:spacing w:val="-6"/>
                <w:sz w:val="21"/>
                <w:szCs w:val="21"/>
              </w:rPr>
              <w:t>自助填表系统上线后，采购人支付40%费用</w:t>
            </w:r>
            <w:r>
              <w:rPr>
                <w:rFonts w:hint="eastAsia" w:ascii="宋体" w:hAnsi="宋体"/>
                <w:color w:val="auto"/>
                <w:spacing w:val="-6"/>
                <w:sz w:val="21"/>
                <w:szCs w:val="21"/>
                <w:lang w:eastAsia="zh-CN"/>
              </w:rPr>
              <w:t>，</w:t>
            </w:r>
            <w:r>
              <w:rPr>
                <w:rFonts w:hint="eastAsia" w:ascii="宋体" w:hAnsi="宋体"/>
                <w:color w:val="auto"/>
                <w:spacing w:val="-6"/>
                <w:sz w:val="21"/>
                <w:szCs w:val="21"/>
              </w:rPr>
              <w:t>项目验收后，采购人支付剩余费用40%费用。</w:t>
            </w:r>
          </w:p>
          <w:p>
            <w:pPr>
              <w:spacing w:line="288" w:lineRule="auto"/>
              <w:rPr>
                <w:rFonts w:ascii="宋体" w:hAnsi="宋体"/>
                <w:spacing w:val="-6"/>
                <w:sz w:val="21"/>
                <w:szCs w:val="21"/>
              </w:rPr>
            </w:pPr>
            <w:r>
              <w:rPr>
                <w:rFonts w:hint="eastAsia" w:ascii="宋体" w:hAnsi="宋体"/>
                <w:color w:val="auto"/>
                <w:spacing w:val="-6"/>
                <w:sz w:val="21"/>
                <w:szCs w:val="21"/>
              </w:rPr>
              <w:t>2、合同签订后，中标方向采购人缴纳合同金额5%的质量保证金，在免费维护期内无质量问题和维护问题，免费维护期满后，于一周内退还（不计息）。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项目工期</w:t>
            </w:r>
          </w:p>
        </w:tc>
        <w:tc>
          <w:tcPr>
            <w:tcW w:w="704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1个月（合同签订之日起）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售后技术服务要求</w:t>
            </w:r>
          </w:p>
        </w:tc>
        <w:tc>
          <w:tcPr>
            <w:tcW w:w="7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1、中标方免费提供操作维护、管理等培训，至熟练操作为止。</w:t>
            </w:r>
          </w:p>
          <w:p>
            <w:pPr>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2、提供软件7*24免费售后技术支持服务（包括故障排除、性能调优、技术咨询等，并负责处理、协调与各系统软件、硬件等供应商的关系）。</w:t>
            </w:r>
          </w:p>
          <w:p>
            <w:pPr>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3、系统维护期内，中标方须根据系统运行情况进行不定期的检测与调优，每半年对系统进行一次总体检测，系统维护期满后为采购人提供一套完整的运行记录。</w:t>
            </w:r>
          </w:p>
          <w:p>
            <w:pPr>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4、系统维护期内，中标方提供7*24应急响应服务，中标方在确认紧急响应请求后，通过电话、Email或传真等远程方式查找紧急事件的事发原因并解决相应问题，如无法远程解决问题，在中标方确认紧急响应请求后提供现场技术支持。</w:t>
            </w:r>
          </w:p>
        </w:tc>
      </w:tr>
    </w:tbl>
    <w:p>
      <w:pPr>
        <w:spacing w:line="288" w:lineRule="auto"/>
        <w:jc w:val="center"/>
        <w:rPr>
          <w:rFonts w:ascii="宋体" w:hAnsi="宋体"/>
          <w:b/>
          <w:sz w:val="32"/>
          <w:szCs w:val="32"/>
        </w:rPr>
      </w:pPr>
      <w:r>
        <w:rPr>
          <w:rFonts w:hint="eastAsia" w:ascii="宋体" w:hAnsi="宋体"/>
          <w:sz w:val="21"/>
          <w:szCs w:val="21"/>
        </w:rPr>
        <w:br w:type="page"/>
      </w:r>
      <w:r>
        <w:rPr>
          <w:rFonts w:hint="eastAsia" w:ascii="宋体" w:hAnsi="宋体"/>
          <w:b/>
          <w:sz w:val="32"/>
          <w:szCs w:val="32"/>
        </w:rPr>
        <w:t>第三章  投标人须知</w:t>
      </w:r>
    </w:p>
    <w:p>
      <w:pPr>
        <w:spacing w:line="288" w:lineRule="auto"/>
        <w:ind w:left="238"/>
        <w:jc w:val="center"/>
        <w:rPr>
          <w:rFonts w:ascii="宋体" w:hAnsi="宋体"/>
          <w:b/>
          <w:sz w:val="24"/>
        </w:rPr>
      </w:pPr>
      <w:r>
        <w:rPr>
          <w:rFonts w:hint="eastAsia" w:ascii="宋体" w:hAnsi="宋体"/>
          <w:b/>
          <w:sz w:val="24"/>
        </w:rPr>
        <w:t>前附表</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采购人：中国美术学院</w:t>
            </w:r>
          </w:p>
          <w:p>
            <w:pPr>
              <w:rPr>
                <w:rFonts w:ascii="宋体" w:hAnsi="宋体"/>
                <w:sz w:val="21"/>
                <w:szCs w:val="21"/>
              </w:rPr>
            </w:pPr>
            <w:r>
              <w:rPr>
                <w:rFonts w:hint="eastAsia" w:ascii="宋体" w:hAnsi="宋体"/>
                <w:sz w:val="21"/>
                <w:szCs w:val="21"/>
              </w:rPr>
              <w:t>项目名称：网络中心表格自助生成系统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投标报价：</w:t>
            </w:r>
          </w:p>
          <w:p>
            <w:pPr>
              <w:rPr>
                <w:rFonts w:ascii="宋体" w:hAnsi="宋体"/>
                <w:b/>
                <w:spacing w:val="-6"/>
                <w:sz w:val="21"/>
                <w:szCs w:val="21"/>
              </w:rPr>
            </w:pPr>
            <w:r>
              <w:rPr>
                <w:rFonts w:hint="eastAsia" w:ascii="宋体" w:hAnsi="宋体"/>
                <w:b/>
                <w:spacing w:val="-6"/>
                <w:sz w:val="21"/>
                <w:szCs w:val="21"/>
              </w:rPr>
              <w:t>1.投标报价是指一次性报出不得更改的价格；</w:t>
            </w:r>
          </w:p>
          <w:p>
            <w:pPr>
              <w:rPr>
                <w:rFonts w:ascii="宋体" w:hAnsi="宋体"/>
                <w:b/>
                <w:spacing w:val="-6"/>
                <w:sz w:val="21"/>
                <w:szCs w:val="21"/>
              </w:rPr>
            </w:pPr>
            <w:r>
              <w:rPr>
                <w:rFonts w:hint="eastAsia" w:ascii="宋体" w:hAnsi="宋体"/>
                <w:b/>
                <w:spacing w:val="-6"/>
                <w:sz w:val="21"/>
                <w:szCs w:val="21"/>
              </w:rPr>
              <w:t>2.本次投标采用人民币报价。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投标费用：</w:t>
            </w:r>
          </w:p>
          <w:p>
            <w:pPr>
              <w:autoSpaceDE w:val="0"/>
              <w:autoSpaceDN w:val="0"/>
              <w:textAlignment w:val="bottom"/>
              <w:rPr>
                <w:rFonts w:ascii="宋体" w:hAnsi="宋体"/>
                <w:sz w:val="21"/>
                <w:szCs w:val="21"/>
              </w:rPr>
            </w:pPr>
            <w:r>
              <w:rPr>
                <w:rFonts w:hint="eastAsia" w:ascii="宋体" w:hAnsi="宋体"/>
                <w:sz w:val="21"/>
                <w:szCs w:val="21"/>
              </w:rPr>
              <w:t>1.不论投标结果如何，投标人均应自行承担所有与投标有关的全部费用；</w:t>
            </w:r>
          </w:p>
          <w:p>
            <w:pPr>
              <w:autoSpaceDE w:val="0"/>
              <w:autoSpaceDN w:val="0"/>
              <w:textAlignment w:val="bottom"/>
              <w:rPr>
                <w:rFonts w:ascii="宋体" w:hAnsi="宋体"/>
                <w:spacing w:val="-6"/>
                <w:sz w:val="21"/>
                <w:szCs w:val="21"/>
              </w:rPr>
            </w:pPr>
            <w:r>
              <w:rPr>
                <w:rFonts w:hint="eastAsia" w:ascii="宋体" w:hAnsi="宋体"/>
                <w:sz w:val="21"/>
                <w:szCs w:val="21"/>
              </w:rPr>
              <w:t>2.中标方在中标通知书发出后七个工作日内，向采购代理机构交纳代理服务费。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投标文件份数：</w:t>
            </w:r>
          </w:p>
          <w:p>
            <w:pPr>
              <w:rPr>
                <w:rFonts w:ascii="宋体" w:hAnsi="宋体"/>
                <w:b/>
                <w:spacing w:val="-6"/>
                <w:sz w:val="21"/>
                <w:szCs w:val="21"/>
              </w:rPr>
            </w:pPr>
            <w:r>
              <w:rPr>
                <w:rFonts w:hint="eastAsia" w:ascii="宋体" w:hAnsi="宋体"/>
                <w:b/>
                <w:sz w:val="21"/>
                <w:szCs w:val="21"/>
              </w:rPr>
              <w:t>1.</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份，副本五份</w:t>
            </w:r>
            <w:r>
              <w:rPr>
                <w:rFonts w:hint="eastAsia" w:ascii="宋体" w:hAnsi="宋体"/>
                <w:b/>
                <w:spacing w:val="-6"/>
                <w:sz w:val="21"/>
                <w:szCs w:val="21"/>
              </w:rPr>
              <w:t>；</w:t>
            </w:r>
          </w:p>
          <w:p>
            <w:pPr>
              <w:rPr>
                <w:rFonts w:ascii="宋体" w:hAnsi="宋体"/>
                <w:sz w:val="21"/>
                <w:szCs w:val="21"/>
              </w:rPr>
            </w:pPr>
            <w:r>
              <w:rPr>
                <w:rFonts w:hint="eastAsia" w:ascii="宋体" w:hAnsi="宋体"/>
                <w:b/>
                <w:spacing w:val="-6"/>
                <w:sz w:val="21"/>
                <w:szCs w:val="21"/>
              </w:rPr>
              <w:t>2.报价文件单独密封，</w:t>
            </w:r>
            <w:r>
              <w:rPr>
                <w:rFonts w:ascii="宋体" w:hAnsi="宋体"/>
                <w:b/>
                <w:spacing w:val="-6"/>
                <w:sz w:val="21"/>
                <w:szCs w:val="21"/>
              </w:rPr>
              <w:t>如</w:t>
            </w:r>
            <w:r>
              <w:rPr>
                <w:rFonts w:hint="eastAsia" w:ascii="宋体" w:hAnsi="宋体"/>
                <w:b/>
                <w:spacing w:val="-6"/>
                <w:sz w:val="21"/>
                <w:szCs w:val="21"/>
              </w:rPr>
              <w:t>未按要求密封导致</w:t>
            </w:r>
            <w:r>
              <w:rPr>
                <w:rFonts w:ascii="宋体" w:hAnsi="宋体"/>
                <w:b/>
                <w:spacing w:val="-6"/>
                <w:sz w:val="21"/>
                <w:szCs w:val="21"/>
              </w:rPr>
              <w:t>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投标文件装订要求：</w:t>
            </w:r>
          </w:p>
          <w:p>
            <w:pPr>
              <w:autoSpaceDE w:val="0"/>
              <w:autoSpaceDN w:val="0"/>
              <w:textAlignment w:val="bottom"/>
              <w:rPr>
                <w:rFonts w:ascii="宋体" w:hAnsi="宋体"/>
                <w:b/>
                <w:sz w:val="21"/>
                <w:szCs w:val="21"/>
              </w:rPr>
            </w:pPr>
            <w:r>
              <w:rPr>
                <w:rFonts w:hint="eastAsia" w:ascii="宋体" w:hAnsi="宋体"/>
                <w:b/>
                <w:sz w:val="21"/>
                <w:szCs w:val="21"/>
              </w:rPr>
              <w:t>报价文件单独装订成册（建议胶装）、商务和技术文件合并装订成册（建议胶装）。</w:t>
            </w:r>
          </w:p>
          <w:p>
            <w:pPr>
              <w:autoSpaceDE w:val="0"/>
              <w:autoSpaceDN w:val="0"/>
              <w:textAlignment w:val="bottom"/>
              <w:rPr>
                <w:rFonts w:ascii="宋体" w:hAnsi="宋体"/>
                <w:sz w:val="21"/>
                <w:szCs w:val="21"/>
              </w:rPr>
            </w:pPr>
            <w:r>
              <w:rPr>
                <w:rFonts w:hint="eastAsia" w:ascii="宋体" w:hAnsi="宋体"/>
                <w:b/>
                <w:sz w:val="21"/>
                <w:szCs w:val="21"/>
              </w:rPr>
              <w:t>▲活页装订的投标文件无效。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评标结果公示：评标结果公示于浙江政府采购网（</w:t>
            </w:r>
            <w:r>
              <w:fldChar w:fldCharType="begin"/>
            </w:r>
            <w:r>
              <w:instrText xml:space="preserve"> HYPERLINK "http://www.zjzfcg.gov.cn/" </w:instrText>
            </w:r>
            <w:r>
              <w:fldChar w:fldCharType="separate"/>
            </w:r>
            <w:r>
              <w:rPr>
                <w:rFonts w:hint="eastAsia" w:ascii="宋体" w:hAnsi="宋体"/>
                <w:sz w:val="21"/>
                <w:szCs w:val="21"/>
              </w:rPr>
              <w:t>http://www.zjzfcg.gov.cn</w:t>
            </w:r>
            <w:r>
              <w:rPr>
                <w:rFonts w:hint="eastAsia" w:ascii="宋体" w:hAnsi="宋体"/>
                <w:sz w:val="21"/>
                <w:szCs w:val="21"/>
              </w:rPr>
              <w:fldChar w:fldCharType="end"/>
            </w:r>
            <w:r>
              <w:rPr>
                <w:rFonts w:hint="eastAsia" w:ascii="宋体" w:hAnsi="宋体"/>
                <w:sz w:val="21"/>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中标通知：中标公告发出之日发中标通知书。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投标保证金退还：</w:t>
            </w:r>
          </w:p>
          <w:p>
            <w:pPr>
              <w:autoSpaceDE w:val="0"/>
              <w:autoSpaceDN w:val="0"/>
              <w:textAlignment w:val="bottom"/>
              <w:rPr>
                <w:rFonts w:ascii="宋体" w:hAnsi="宋体"/>
                <w:sz w:val="21"/>
                <w:szCs w:val="21"/>
              </w:rPr>
            </w:pPr>
            <w:r>
              <w:rPr>
                <w:rFonts w:hint="eastAsia" w:ascii="宋体" w:hAnsi="宋体"/>
                <w:sz w:val="21"/>
                <w:szCs w:val="21"/>
              </w:rPr>
              <w:t>未中标方的保证金，自中标通知书发出之日起五个工作日内凭</w:t>
            </w:r>
            <w:r>
              <w:rPr>
                <w:rFonts w:hint="eastAsia" w:ascii="宋体" w:hAnsi="宋体"/>
                <w:spacing w:val="-6"/>
                <w:sz w:val="21"/>
                <w:szCs w:val="21"/>
              </w:rPr>
              <w:t>保证金收据自行</w:t>
            </w:r>
            <w:r>
              <w:rPr>
                <w:rFonts w:hint="eastAsia" w:ascii="宋体" w:hAnsi="宋体"/>
                <w:sz w:val="21"/>
                <w:szCs w:val="21"/>
              </w:rPr>
              <w:t>退还。</w:t>
            </w:r>
          </w:p>
          <w:p>
            <w:pPr>
              <w:autoSpaceDE w:val="0"/>
              <w:autoSpaceDN w:val="0"/>
              <w:textAlignment w:val="bottom"/>
              <w:rPr>
                <w:rFonts w:ascii="宋体" w:hAnsi="宋体"/>
                <w:sz w:val="21"/>
                <w:szCs w:val="21"/>
              </w:rPr>
            </w:pPr>
            <w:r>
              <w:rPr>
                <w:rFonts w:hint="eastAsia" w:ascii="宋体" w:hAnsi="宋体"/>
                <w:sz w:val="21"/>
                <w:szCs w:val="21"/>
              </w:rPr>
              <w:t>中标方的保证金，自政府采购合同签订之日起五个工作日内凭保证金收据自行退还。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签订合同：中标通知书发出后30日内。</w:t>
            </w:r>
          </w:p>
          <w:p>
            <w:pPr>
              <w:autoSpaceDE w:val="0"/>
              <w:autoSpaceDN w:val="0"/>
              <w:textAlignment w:val="bottom"/>
              <w:rPr>
                <w:rFonts w:ascii="宋体" w:hAnsi="宋体"/>
                <w:sz w:val="21"/>
                <w:szCs w:val="21"/>
              </w:rPr>
            </w:pPr>
            <w:r>
              <w:rPr>
                <w:rFonts w:hint="eastAsia" w:ascii="宋体" w:hAnsi="宋体"/>
                <w:sz w:val="21"/>
                <w:szCs w:val="21"/>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11</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12</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是否允许采购进口产品：否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解释：本招标文件的解释权属于</w:t>
            </w:r>
            <w:r>
              <w:rPr>
                <w:rFonts w:hint="eastAsia" w:ascii="宋体" w:hAnsi="宋体"/>
                <w:spacing w:val="-6"/>
                <w:sz w:val="21"/>
                <w:szCs w:val="21"/>
              </w:rPr>
              <w:t>招标采购单位</w:t>
            </w:r>
            <w:r>
              <w:rPr>
                <w:rFonts w:hint="eastAsia" w:ascii="宋体" w:hAnsi="宋体"/>
                <w:sz w:val="21"/>
                <w:szCs w:val="21"/>
              </w:rPr>
              <w:t>。</w:t>
            </w:r>
          </w:p>
        </w:tc>
      </w:tr>
    </w:tbl>
    <w:p>
      <w:pPr>
        <w:spacing w:line="288" w:lineRule="auto"/>
        <w:rPr>
          <w:rFonts w:ascii="宋体" w:hAnsi="宋体"/>
          <w:sz w:val="21"/>
          <w:szCs w:val="21"/>
        </w:rPr>
      </w:pPr>
    </w:p>
    <w:p>
      <w:pPr>
        <w:pStyle w:val="13"/>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本招标文件适用于中国美术学院网络中心表格自助生成系统的招标、评标、定标、验收、合同履约、付款等（法律、法规另有规定的，从其规定）。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1.招标采购单位系指组织本次招标的杭州求是招标代理有限公司（采购代理机构）和中国美术学院（采购人）。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2．“投标人”系指向采购代理机构提交投标文件的单位或个人。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3．“产品”系指投标人按招标文件规定，须向采购人提供的一切设备、保险、税金、备品备件、工具、手册及其它有关技术资料和材料。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4．“服务”系指招标文件规定投标人须承担的安装、调试、技术协助、校准、培训、技术指导以及其他类似的义务。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5．“项目”系指投标人按招标文件规定向采购人提供的产品和服务。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6．“书面形式”包括信函、传真、电子文档等。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7．“▲”系指实质性要求条款，投标人必须做出实质性响应。</w:t>
      </w:r>
    </w:p>
    <w:p>
      <w:pPr>
        <w:spacing w:line="288" w:lineRule="auto"/>
        <w:jc w:val="left"/>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spacing w:line="288" w:lineRule="auto"/>
        <w:jc w:val="left"/>
        <w:rPr>
          <w:rFonts w:ascii="宋体" w:hAnsi="宋体"/>
          <w:b/>
          <w:spacing w:val="-6"/>
          <w:sz w:val="24"/>
        </w:rPr>
      </w:pPr>
      <w:r>
        <w:rPr>
          <w:rFonts w:hint="eastAsia" w:ascii="宋体" w:hAnsi="宋体"/>
          <w:b/>
          <w:spacing w:val="-6"/>
          <w:sz w:val="24"/>
        </w:rPr>
        <w:t>（四） 投标委托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投标人授权代表须携带有效身份证件</w:t>
      </w:r>
      <w:r>
        <w:rPr>
          <w:rFonts w:hint="eastAsia" w:ascii="宋体" w:hAnsi="宋体"/>
          <w:spacing w:val="-6"/>
          <w:sz w:val="21"/>
          <w:szCs w:val="21"/>
        </w:rPr>
        <w:t>。</w:t>
      </w:r>
      <w:r>
        <w:rPr>
          <w:rFonts w:ascii="宋体" w:hAnsi="宋体"/>
          <w:spacing w:val="-6"/>
          <w:sz w:val="21"/>
          <w:szCs w:val="21"/>
        </w:rPr>
        <w:t>如投标人授权代表不是法定代表人，须有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，详见投标文件格式）</w:t>
      </w:r>
      <w:r>
        <w:rPr>
          <w:rFonts w:ascii="宋体" w:hAnsi="宋体"/>
          <w:spacing w:val="-6"/>
          <w:sz w:val="21"/>
          <w:szCs w:val="21"/>
        </w:rPr>
        <w:t>。</w:t>
      </w:r>
    </w:p>
    <w:p>
      <w:pPr>
        <w:spacing w:line="288" w:lineRule="auto"/>
        <w:jc w:val="left"/>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不论投标结果如何，投标人均应自行承担所有与投标有关的全部费用；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2.中标方在中标通知书发出后七个工作日内，向采购代理机构交纳代理服务费，收费标准：</w:t>
      </w:r>
    </w:p>
    <w:tbl>
      <w:tblPr>
        <w:tblStyle w:val="28"/>
        <w:tblW w:w="5812" w:type="dxa"/>
        <w:tblInd w:w="12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3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中标金额（万元）</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收费标准</w:t>
            </w:r>
            <w:r>
              <w:rPr>
                <w:rFonts w:ascii="宋体" w:hAnsi="宋体" w:cs="宋体"/>
                <w:kern w:val="0"/>
                <w:sz w:val="21"/>
                <w:szCs w:val="21"/>
              </w:rPr>
              <w:t>（费率</w:t>
            </w:r>
            <w:r>
              <w:rPr>
                <w:rFonts w:hint="eastAsia" w:ascii="宋体" w:hAnsi="宋体" w:cs="宋体"/>
                <w:kern w:val="0"/>
                <w:sz w:val="21"/>
                <w:szCs w:val="21"/>
              </w:rPr>
              <w:t>，</w:t>
            </w:r>
            <w:r>
              <w:rPr>
                <w:rFonts w:ascii="宋体" w:hAnsi="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100以下</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1.2</w:t>
            </w:r>
          </w:p>
        </w:tc>
      </w:tr>
    </w:tbl>
    <w:p>
      <w:pPr>
        <w:spacing w:line="288" w:lineRule="auto"/>
        <w:jc w:val="left"/>
        <w:rPr>
          <w:rFonts w:ascii="宋体" w:hAnsi="宋体"/>
          <w:b/>
          <w:spacing w:val="-6"/>
          <w:sz w:val="24"/>
        </w:rPr>
      </w:pPr>
      <w:r>
        <w:rPr>
          <w:rFonts w:hint="eastAsia" w:ascii="宋体" w:hAnsi="宋体"/>
          <w:b/>
          <w:spacing w:val="-6"/>
          <w:sz w:val="24"/>
        </w:rPr>
        <w:t>（六） 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本项目不允许转包或分包。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.投标人应仔细阅读招标文件的所有内容，按照招标文件的要求提交投标文件，并对所提供的全部资料的真实性承担法律责任。</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w:t>
      </w:r>
      <w:r>
        <w:rPr>
          <w:rFonts w:hAnsi="宋体"/>
          <w:spacing w:val="-6"/>
          <w:sz w:val="21"/>
          <w:szCs w:val="21"/>
        </w:rPr>
        <w:t>.投标人在投标活动中提供任何虚假材料，其投标无效，并报监管部门查处；标后发现的</w:t>
      </w:r>
      <w:r>
        <w:rPr>
          <w:rFonts w:hint="eastAsia" w:hAnsi="宋体"/>
          <w:spacing w:val="-6"/>
          <w:sz w:val="21"/>
          <w:szCs w:val="21"/>
        </w:rPr>
        <w:t>，中标方</w:t>
      </w:r>
      <w:r>
        <w:rPr>
          <w:rFonts w:hAnsi="宋体"/>
          <w:spacing w:val="-6"/>
          <w:sz w:val="21"/>
          <w:szCs w:val="21"/>
        </w:rPr>
        <w:t>须依照《中华人民共和国消费者权益保护法》第49条之规定双倍赔偿采购人，且民事赔偿并不免除违法投标人的行政与刑事责任。</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5.为采购项目提供整体设计、规范编制或者项目管理、监理、检测等服务的供应商，不得再参加该采购项目的其他采购活动。</w:t>
      </w:r>
    </w:p>
    <w:p>
      <w:pPr>
        <w:pStyle w:val="11"/>
        <w:spacing w:line="288" w:lineRule="auto"/>
        <w:ind w:firstLine="396" w:firstLineChars="200"/>
        <w:jc w:val="left"/>
        <w:rPr>
          <w:rFonts w:hAnsi="宋体"/>
          <w:spacing w:val="-6"/>
          <w:sz w:val="21"/>
          <w:szCs w:val="21"/>
        </w:rPr>
      </w:pPr>
      <w:r>
        <w:rPr>
          <w:rFonts w:hAnsi="宋体"/>
          <w:spacing w:val="-6"/>
          <w:sz w:val="21"/>
          <w:szCs w:val="21"/>
        </w:rPr>
        <w:t>6</w:t>
      </w:r>
      <w:r>
        <w:rPr>
          <w:rFonts w:hint="eastAsia" w:hAnsi="宋体"/>
          <w:spacing w:val="-6"/>
          <w:sz w:val="21"/>
          <w:szCs w:val="21"/>
        </w:rPr>
        <w:t>.浙财采监[2013]24号《关于规范政府采购供应商资格设定及资格审查的通知》第九条规定：</w:t>
      </w:r>
      <w:r>
        <w:rPr>
          <w:rFonts w:hAnsi="宋体"/>
          <w:spacing w:val="-6"/>
          <w:sz w:val="21"/>
          <w:szCs w:val="21"/>
        </w:rPr>
        <w:t>如多家供应商提供相同品牌相同型号的产品参加同一政府采购项目</w:t>
      </w:r>
      <w:r>
        <w:rPr>
          <w:rFonts w:hint="eastAsia" w:hAnsi="宋体"/>
          <w:spacing w:val="-6"/>
          <w:sz w:val="21"/>
          <w:szCs w:val="21"/>
        </w:rPr>
        <w:t>投标</w:t>
      </w:r>
      <w:r>
        <w:rPr>
          <w:rFonts w:hAnsi="宋体"/>
          <w:spacing w:val="-6"/>
          <w:sz w:val="21"/>
          <w:szCs w:val="21"/>
        </w:rPr>
        <w:t>的，应当按一家供应商认定。评审时，应取其中通过资格审查后的报价最低一家为有效供应商；报价相同时，取技术分最高者；均相同时，由</w:t>
      </w:r>
      <w:r>
        <w:rPr>
          <w:rFonts w:hint="eastAsia" w:hAnsi="宋体"/>
          <w:spacing w:val="-6"/>
          <w:sz w:val="21"/>
          <w:szCs w:val="21"/>
        </w:rPr>
        <w:t>评标委员会</w:t>
      </w:r>
      <w:r>
        <w:rPr>
          <w:rFonts w:hAnsi="宋体"/>
          <w:spacing w:val="-6"/>
          <w:sz w:val="21"/>
          <w:szCs w:val="21"/>
        </w:rPr>
        <w:t>集体决定。</w:t>
      </w:r>
    </w:p>
    <w:p>
      <w:pPr>
        <w:pStyle w:val="11"/>
        <w:spacing w:line="288" w:lineRule="auto"/>
        <w:ind w:firstLine="396" w:firstLineChars="200"/>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1"/>
        <w:spacing w:line="288" w:lineRule="auto"/>
        <w:ind w:firstLine="396" w:firstLineChars="200"/>
        <w:jc w:val="left"/>
        <w:rPr>
          <w:rFonts w:hAnsi="宋体"/>
          <w:spacing w:val="-6"/>
          <w:sz w:val="21"/>
          <w:szCs w:val="21"/>
        </w:rPr>
      </w:pPr>
      <w:r>
        <w:rPr>
          <w:rFonts w:hint="eastAsia" w:hAnsi="宋体"/>
          <w:spacing w:val="-6"/>
          <w:sz w:val="21"/>
          <w:szCs w:val="21"/>
        </w:rPr>
        <w:t>7.按照《浙江省政府采购供应商注册及诚信管理暂行办法》（浙财采监字［2009］28号）的相关规定，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招标</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可以拒绝向其发出中标通知书，并直接推荐排名次之的供应商为中标候选供应商，依次类推。</w:t>
      </w:r>
    </w:p>
    <w:p>
      <w:pPr>
        <w:pStyle w:val="11"/>
        <w:spacing w:line="288" w:lineRule="auto"/>
        <w:ind w:firstLine="396" w:firstLineChars="200"/>
        <w:jc w:val="left"/>
        <w:rPr>
          <w:rFonts w:hAnsi="宋体"/>
          <w:spacing w:val="-6"/>
          <w:sz w:val="21"/>
          <w:szCs w:val="21"/>
        </w:rPr>
      </w:pPr>
      <w:r>
        <w:rPr>
          <w:rFonts w:hAnsi="宋体"/>
          <w:spacing w:val="-6"/>
          <w:sz w:val="21"/>
          <w:szCs w:val="21"/>
        </w:rPr>
        <w:t>注册供应商在向</w:t>
      </w:r>
      <w:r>
        <w:rPr>
          <w:rFonts w:hint="eastAsia" w:hAnsi="宋体"/>
          <w:spacing w:val="-6"/>
          <w:sz w:val="21"/>
          <w:szCs w:val="21"/>
        </w:rPr>
        <w:t>采购代理机构</w:t>
      </w:r>
      <w:r>
        <w:rPr>
          <w:rFonts w:hAnsi="宋体"/>
          <w:spacing w:val="-6"/>
          <w:sz w:val="21"/>
          <w:szCs w:val="21"/>
        </w:rPr>
        <w:t>提交</w:t>
      </w:r>
      <w:r>
        <w:rPr>
          <w:rFonts w:hint="eastAsia" w:hAnsi="宋体"/>
          <w:spacing w:val="-6"/>
          <w:sz w:val="21"/>
          <w:szCs w:val="21"/>
        </w:rPr>
        <w:t>投标</w:t>
      </w:r>
      <w:r>
        <w:rPr>
          <w:rFonts w:hAnsi="宋体"/>
          <w:spacing w:val="-6"/>
          <w:sz w:val="21"/>
          <w:szCs w:val="21"/>
        </w:rPr>
        <w:t>文件前，应首先将参加本次采购活动拟提供的产品或服务在网上自行进行注册登记，否则，</w:t>
      </w:r>
      <w:r>
        <w:rPr>
          <w:rFonts w:hint="eastAsia" w:hAnsi="宋体"/>
          <w:spacing w:val="-6"/>
          <w:sz w:val="21"/>
          <w:szCs w:val="21"/>
        </w:rPr>
        <w:t>采购代理机构</w:t>
      </w:r>
      <w:r>
        <w:rPr>
          <w:rFonts w:hAnsi="宋体"/>
          <w:spacing w:val="-6"/>
          <w:sz w:val="21"/>
          <w:szCs w:val="21"/>
        </w:rPr>
        <w:t>在评审时可以予以拒绝。</w:t>
      </w:r>
    </w:p>
    <w:p>
      <w:pPr>
        <w:spacing w:line="288" w:lineRule="auto"/>
        <w:rPr>
          <w:rFonts w:ascii="宋体" w:hAnsi="宋体" w:cs="宋体"/>
          <w:b/>
          <w:spacing w:val="-6"/>
          <w:kern w:val="0"/>
          <w:sz w:val="24"/>
        </w:rPr>
      </w:pPr>
      <w:r>
        <w:rPr>
          <w:rFonts w:ascii="宋体" w:hAnsi="宋体" w:cs="宋体"/>
          <w:b/>
          <w:spacing w:val="-6"/>
          <w:kern w:val="0"/>
          <w:sz w:val="24"/>
        </w:rPr>
        <w:t>（九）质疑和投诉</w:t>
      </w:r>
    </w:p>
    <w:p>
      <w:pPr>
        <w:pStyle w:val="11"/>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投标人认为招标文件、招标过程</w:t>
      </w:r>
      <w:r>
        <w:rPr>
          <w:rFonts w:hint="eastAsia" w:hAnsi="宋体"/>
          <w:spacing w:val="-6"/>
          <w:sz w:val="21"/>
          <w:szCs w:val="21"/>
        </w:rPr>
        <w:t>或</w:t>
      </w:r>
      <w:r>
        <w:rPr>
          <w:rFonts w:hAnsi="宋体"/>
          <w:spacing w:val="-6"/>
          <w:sz w:val="21"/>
          <w:szCs w:val="21"/>
        </w:rPr>
        <w:t>中标结果使自己的合法权益受到损害的，应当在知道或者应知其权益受到损害之日起七个工作日内，以书面形式向</w:t>
      </w:r>
      <w:r>
        <w:rPr>
          <w:rFonts w:hint="eastAsia" w:hAnsi="宋体"/>
          <w:spacing w:val="-6"/>
          <w:sz w:val="21"/>
          <w:szCs w:val="21"/>
        </w:rPr>
        <w:t>招标采购单位</w:t>
      </w:r>
      <w:r>
        <w:rPr>
          <w:rFonts w:hAnsi="宋体"/>
          <w:spacing w:val="-6"/>
          <w:sz w:val="21"/>
          <w:szCs w:val="21"/>
        </w:rPr>
        <w:t>提出质疑。投标人对招标采购单位的质疑答复不满意或者招标采购单位未在规定时间内作出答复的，可以在答复期满后十五个工作日内向同级</w:t>
      </w:r>
      <w:r>
        <w:rPr>
          <w:rFonts w:hint="eastAsia" w:hAnsi="宋体"/>
          <w:spacing w:val="-6"/>
          <w:sz w:val="21"/>
          <w:szCs w:val="21"/>
        </w:rPr>
        <w:t>政府</w:t>
      </w:r>
      <w:r>
        <w:rPr>
          <w:rFonts w:hAnsi="宋体"/>
          <w:spacing w:val="-6"/>
          <w:sz w:val="21"/>
          <w:szCs w:val="21"/>
        </w:rPr>
        <w:t>采购监管部门投诉。</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质疑、投诉应当采用书面形式，质疑书、投诉书均应明确阐述招标文件、招标过程</w:t>
      </w:r>
      <w:r>
        <w:rPr>
          <w:rFonts w:hint="eastAsia" w:hAnsi="宋体"/>
          <w:spacing w:val="-6"/>
          <w:sz w:val="21"/>
          <w:szCs w:val="21"/>
        </w:rPr>
        <w:t>或</w:t>
      </w:r>
      <w:r>
        <w:rPr>
          <w:rFonts w:hAnsi="宋体"/>
          <w:spacing w:val="-6"/>
          <w:sz w:val="21"/>
          <w:szCs w:val="21"/>
        </w:rPr>
        <w:t>中标结果中使自己合法权益受到损害的实质性内容，提供相关事实、依据和证据及其来源或线索，便于有关单位调查、答复和处理</w:t>
      </w:r>
      <w:r>
        <w:rPr>
          <w:rFonts w:hint="eastAsia" w:hAnsi="宋体"/>
          <w:spacing w:val="-6"/>
          <w:sz w:val="21"/>
          <w:szCs w:val="21"/>
        </w:rPr>
        <w:t>。</w:t>
      </w:r>
    </w:p>
    <w:p>
      <w:pPr>
        <w:pStyle w:val="13"/>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、招标文件</w:t>
      </w:r>
    </w:p>
    <w:p>
      <w:pPr>
        <w:spacing w:line="288" w:lineRule="auto"/>
        <w:jc w:val="left"/>
        <w:rPr>
          <w:rFonts w:ascii="宋体" w:hAnsi="宋体"/>
          <w:b/>
          <w:spacing w:val="-6"/>
          <w:sz w:val="24"/>
        </w:rPr>
      </w:pPr>
      <w:r>
        <w:rPr>
          <w:rFonts w:hint="eastAsia" w:ascii="宋体" w:hAnsi="宋体"/>
          <w:b/>
          <w:spacing w:val="-6"/>
          <w:sz w:val="24"/>
        </w:rPr>
        <w:t>（一） 招标文件的构成。本招标文件由以下部份组成：</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1.公开招标采购公告</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2.招标需求</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11"/>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1"/>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rPr>
          <w:rFonts w:ascii="宋体" w:hAnsi="宋体"/>
          <w:spacing w:val="-6"/>
          <w:sz w:val="24"/>
        </w:rPr>
      </w:pPr>
      <w:r>
        <w:rPr>
          <w:rFonts w:hint="eastAsia" w:ascii="宋体" w:hAnsi="宋体"/>
          <w:b/>
          <w:spacing w:val="-6"/>
          <w:sz w:val="24"/>
        </w:rPr>
        <w:t>（二） 投标人的风险</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spacing w:val="-6"/>
          <w:sz w:val="24"/>
        </w:rPr>
      </w:pPr>
      <w:r>
        <w:rPr>
          <w:rFonts w:hint="eastAsia" w:ascii="宋体" w:hAnsi="宋体"/>
          <w:b/>
          <w:spacing w:val="-6"/>
          <w:sz w:val="24"/>
        </w:rPr>
        <w:t>（三） 招标文件的澄清与修改</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3.招标文件澄清、答复、修改、补充的内容为招标文件的组成部分。当招标文件与招标文件的答复、澄清、修改、补充通知就同一内容的表述不一致时，以最后发出的书面形式文件为准。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4.招标文件的澄清、答复、修改或补充都应该通过本采购代理机构以法定形式发布，采购人非通过本机构，不得擅自澄清、答复、修改或补充招标文件。</w:t>
      </w:r>
    </w:p>
    <w:p>
      <w:pPr>
        <w:pStyle w:val="13"/>
        <w:spacing w:beforeLines="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rPr>
          <w:rFonts w:ascii="宋体" w:hAnsi="宋体"/>
          <w:b/>
          <w:spacing w:val="-6"/>
          <w:sz w:val="24"/>
        </w:rPr>
      </w:pPr>
      <w:r>
        <w:rPr>
          <w:rFonts w:hint="eastAsia" w:ascii="宋体" w:hAnsi="宋体"/>
          <w:b/>
          <w:spacing w:val="-6"/>
          <w:sz w:val="24"/>
        </w:rPr>
        <w:t>（一） 投标文件的组成</w:t>
      </w:r>
    </w:p>
    <w:p>
      <w:pPr>
        <w:pStyle w:val="11"/>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两部分组成（格式详见招标文件第六章）。</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（3）投标人企业类型声明函</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w:t>
      </w:r>
      <w:r>
        <w:rPr>
          <w:rFonts w:hAnsi="宋体"/>
          <w:spacing w:val="-6"/>
          <w:sz w:val="21"/>
          <w:szCs w:val="21"/>
        </w:rPr>
        <w:t>▲</w:t>
      </w:r>
      <w:r>
        <w:rPr>
          <w:rFonts w:hint="eastAsia" w:hAnsi="宋体"/>
          <w:spacing w:val="-6"/>
          <w:sz w:val="21"/>
          <w:szCs w:val="21"/>
        </w:rPr>
        <w:t>投标授权代表社保交纳证明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（4）投标声明书</w:t>
      </w:r>
    </w:p>
    <w:p>
      <w:pPr>
        <w:pStyle w:val="11"/>
        <w:spacing w:line="288" w:lineRule="auto"/>
        <w:ind w:firstLine="396" w:firstLineChars="200"/>
        <w:jc w:val="left"/>
        <w:rPr>
          <w:rFonts w:hAnsi="宋体"/>
          <w:spacing w:val="-6"/>
          <w:sz w:val="21"/>
          <w:szCs w:val="21"/>
        </w:rPr>
      </w:pPr>
      <w:r>
        <w:rPr>
          <w:rFonts w:hint="eastAsia" w:hAnsi="宋体"/>
          <w:spacing w:val="-6"/>
          <w:sz w:val="21"/>
          <w:szCs w:val="21"/>
        </w:rPr>
        <w:t>（5）商务偏离表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（6）投标人情况介绍</w:t>
      </w:r>
    </w:p>
    <w:p>
      <w:pPr>
        <w:pStyle w:val="11"/>
        <w:spacing w:line="288" w:lineRule="auto"/>
        <w:ind w:firstLine="397" w:firstLineChars="201"/>
        <w:jc w:val="left"/>
        <w:rPr>
          <w:rFonts w:hAnsi="宋体"/>
          <w:spacing w:val="-6"/>
          <w:sz w:val="21"/>
          <w:szCs w:val="21"/>
        </w:rPr>
      </w:pPr>
      <w:r>
        <w:rPr>
          <w:rFonts w:hint="eastAsia" w:hAnsi="宋体"/>
          <w:spacing w:val="-6"/>
          <w:sz w:val="21"/>
          <w:szCs w:val="21"/>
        </w:rPr>
        <w:t>（7）有效的法人或者其他组织的营业执照等证明文件（复印件加盖公章），自然人的身份证明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（8）最近一个年度的财务报告（复印件加盖公章）或开标前三个月内出具的银行资信证明（若资信证明中注明复印无效，需提交正本）</w:t>
      </w:r>
    </w:p>
    <w:p>
      <w:pPr>
        <w:pStyle w:val="11"/>
        <w:spacing w:line="288" w:lineRule="auto"/>
        <w:ind w:firstLine="396" w:firstLineChars="200"/>
        <w:jc w:val="left"/>
        <w:rPr>
          <w:rFonts w:hAnsi="宋体"/>
          <w:spacing w:val="-6"/>
          <w:sz w:val="21"/>
          <w:szCs w:val="21"/>
        </w:rPr>
      </w:pPr>
      <w:r>
        <w:rPr>
          <w:rFonts w:hint="eastAsia" w:hAnsi="宋体"/>
          <w:spacing w:val="-6"/>
          <w:sz w:val="21"/>
          <w:szCs w:val="21"/>
        </w:rPr>
        <w:t>（9）最近一个月依法缴纳税收的证明材料（依法免税的投标人，应提供相应文件证明其依法免税）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（10）最近一个月依法缴社会保障资金的证明材料（依法不需要缴纳社会保障资金的投标人，应提供相应文件证明其依法不需要缴纳社会保障资金）</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（11）参加政府采购活动前3年内在经营活动中没有重大违法记录的书面声明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（12）投标人自2016年1月1日以来（以合同签订时间为准）相关成功案例和业绩证明（项目实施情况一览表、完整的合同复印件）（原件现场备查）</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（13）投标人需要说明的其他文件和材料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（1）技术偏离表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w:t>
      </w:r>
      <w:r>
        <w:rPr>
          <w:rFonts w:ascii="宋体" w:hAnsi="宋体"/>
          <w:spacing w:val="-6"/>
          <w:sz w:val="21"/>
          <w:szCs w:val="21"/>
        </w:rPr>
        <w:t>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（3）项目</w:t>
      </w:r>
      <w:r>
        <w:rPr>
          <w:rFonts w:ascii="宋体" w:hAnsi="宋体"/>
          <w:spacing w:val="-6"/>
          <w:sz w:val="21"/>
          <w:szCs w:val="21"/>
        </w:rPr>
        <w:t>实施方案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（4）拟投入项目人员一览表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（5）售后</w:t>
      </w:r>
      <w:r>
        <w:rPr>
          <w:rFonts w:ascii="宋体" w:hAnsi="宋体"/>
          <w:spacing w:val="-6"/>
          <w:sz w:val="21"/>
          <w:szCs w:val="21"/>
        </w:rPr>
        <w:t>服务方案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（6）技术服务、技术培训的内容和措施</w:t>
      </w:r>
    </w:p>
    <w:p>
      <w:pPr>
        <w:spacing w:line="288" w:lineRule="auto"/>
        <w:ind w:firstLine="398" w:firstLineChars="200"/>
        <w:jc w:val="left"/>
        <w:rPr>
          <w:rFonts w:ascii="宋体" w:hAnsi="宋体"/>
          <w:b/>
          <w:spacing w:val="-6"/>
          <w:sz w:val="21"/>
          <w:szCs w:val="21"/>
        </w:rPr>
      </w:pPr>
      <w:r>
        <w:rPr>
          <w:rFonts w:ascii="宋体" w:hAnsi="宋体"/>
          <w:b/>
          <w:spacing w:val="-6"/>
          <w:sz w:val="21"/>
          <w:szCs w:val="21"/>
        </w:rPr>
        <w:t>▲注：法定代表人资格证明书</w:t>
      </w:r>
      <w:r>
        <w:rPr>
          <w:rFonts w:hint="eastAsia" w:ascii="宋体" w:hAnsi="宋体"/>
          <w:b/>
          <w:spacing w:val="-6"/>
          <w:sz w:val="21"/>
          <w:szCs w:val="21"/>
        </w:rPr>
        <w:t>、</w:t>
      </w:r>
      <w:r>
        <w:rPr>
          <w:rFonts w:ascii="宋体" w:hAnsi="宋体"/>
          <w:b/>
          <w:spacing w:val="-6"/>
          <w:sz w:val="21"/>
          <w:szCs w:val="21"/>
        </w:rPr>
        <w:t>法定代表人授权委托书</w:t>
      </w:r>
      <w:r>
        <w:rPr>
          <w:rFonts w:hint="eastAsia" w:ascii="宋体" w:hAnsi="宋体"/>
          <w:b/>
          <w:spacing w:val="-6"/>
          <w:sz w:val="21"/>
          <w:szCs w:val="21"/>
        </w:rPr>
        <w:t>、</w:t>
      </w:r>
      <w:r>
        <w:rPr>
          <w:rFonts w:ascii="宋体" w:hAnsi="宋体"/>
          <w:b/>
          <w:spacing w:val="-6"/>
          <w:sz w:val="21"/>
          <w:szCs w:val="21"/>
        </w:rPr>
        <w:t>投标声明书、投标函、开标一览表</w:t>
      </w:r>
      <w:r>
        <w:rPr>
          <w:rFonts w:hint="eastAsia" w:ascii="宋体" w:hAnsi="宋体"/>
          <w:b/>
          <w:spacing w:val="-6"/>
          <w:sz w:val="21"/>
          <w:szCs w:val="21"/>
        </w:rPr>
        <w:t>必须按招标文件格式中相应代表人签署</w:t>
      </w:r>
      <w:r>
        <w:rPr>
          <w:rFonts w:ascii="宋体" w:hAnsi="宋体"/>
          <w:b/>
          <w:spacing w:val="-6"/>
          <w:sz w:val="21"/>
          <w:szCs w:val="21"/>
        </w:rPr>
        <w:t>并加盖公章。</w:t>
      </w:r>
    </w:p>
    <w:p>
      <w:pPr>
        <w:spacing w:line="288" w:lineRule="auto"/>
        <w:jc w:val="left"/>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spacing w:line="288" w:lineRule="auto"/>
        <w:ind w:firstLine="422" w:firstLineChars="200"/>
        <w:jc w:val="left"/>
        <w:rPr>
          <w:rFonts w:ascii="宋体" w:hAnsi="宋体"/>
          <w:b/>
          <w:snapToGrid w:val="0"/>
          <w:kern w:val="0"/>
          <w:sz w:val="21"/>
          <w:szCs w:val="21"/>
        </w:rPr>
      </w:pPr>
      <w:r>
        <w:rPr>
          <w:rFonts w:hint="eastAsia" w:ascii="宋体" w:hAnsi="宋体"/>
          <w:b/>
          <w:snapToGrid w:val="0"/>
          <w:kern w:val="0"/>
          <w:sz w:val="21"/>
          <w:szCs w:val="21"/>
        </w:rPr>
        <w:t>2.投标人应按报价文件单独装订成册（</w:t>
      </w:r>
      <w:r>
        <w:rPr>
          <w:rFonts w:hint="eastAsia" w:ascii="宋体" w:hAnsi="宋体"/>
          <w:b/>
          <w:spacing w:val="-6"/>
          <w:sz w:val="21"/>
          <w:szCs w:val="21"/>
        </w:rPr>
        <w:t>建议胶装</w:t>
      </w:r>
      <w:r>
        <w:rPr>
          <w:rFonts w:hint="eastAsia" w:ascii="宋体" w:hAnsi="宋体"/>
          <w:b/>
          <w:snapToGrid w:val="0"/>
          <w:kern w:val="0"/>
          <w:sz w:val="21"/>
          <w:szCs w:val="21"/>
        </w:rPr>
        <w:t>）、商务和技术文件合并装订成册（</w:t>
      </w:r>
      <w:r>
        <w:rPr>
          <w:rFonts w:hint="eastAsia" w:ascii="宋体" w:hAnsi="宋体"/>
          <w:b/>
          <w:spacing w:val="-6"/>
          <w:sz w:val="21"/>
          <w:szCs w:val="21"/>
        </w:rPr>
        <w:t>建议胶装</w:t>
      </w:r>
      <w:r>
        <w:rPr>
          <w:rFonts w:hint="eastAsia" w:ascii="宋体" w:hAnsi="宋体"/>
          <w:b/>
          <w:snapToGrid w:val="0"/>
          <w:kern w:val="0"/>
          <w:sz w:val="21"/>
          <w:szCs w:val="21"/>
        </w:rPr>
        <w:t>），其中正本一份、副本五份，投标文件的封面应注明“正本“、“副本”字样。</w:t>
      </w:r>
    </w:p>
    <w:p>
      <w:pPr>
        <w:spacing w:line="288" w:lineRule="auto"/>
        <w:ind w:firstLine="398" w:firstLineChars="200"/>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活页装订的投标文件无效。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4.投标文件须由投标人在规定位置盖章并由法定代表人或法定代表授权人签署，投标人应写全称。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5.投标文件不得涂改，若有修改错漏处，须加盖公章或者法定代表人或授权委托人签字或盖章。投标文件因字迹潦草或表达不清所引起的后果由投标人负责。</w:t>
      </w:r>
    </w:p>
    <w:p>
      <w:pPr>
        <w:spacing w:line="288" w:lineRule="auto"/>
        <w:jc w:val="left"/>
        <w:rPr>
          <w:rFonts w:ascii="宋体" w:hAnsi="宋体"/>
          <w:b/>
          <w:spacing w:val="-6"/>
          <w:sz w:val="24"/>
        </w:rPr>
      </w:pPr>
      <w:r>
        <w:rPr>
          <w:rFonts w:hint="eastAsia" w:ascii="宋体" w:hAnsi="宋体"/>
          <w:b/>
          <w:spacing w:val="-6"/>
          <w:sz w:val="24"/>
        </w:rPr>
        <w:t>（三） 投标文件的包装、递交、修改和撤回</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hint="eastAsia" w:ascii="宋体" w:hAnsi="宋体"/>
          <w:b/>
          <w:spacing w:val="-6"/>
          <w:sz w:val="21"/>
          <w:szCs w:val="21"/>
        </w:rPr>
        <w:t>投标人应按投标报价文件、商务和技术文件分别密封包装，相同部分的正副本可密封在同一个密封袋内。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投标人应在投标文件包装封面上注明投标人名称、投标人地址、投标文件名称（报价文件、商务和技术文件）、投标项目名称、项目编号及“开标时启封”字样，并加盖投标人公章。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2.未按规定密封或标记的投标文件将被拒绝，由此造成投标文件被误投或提前拆封的风险由投标人承担。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288" w:lineRule="auto"/>
        <w:jc w:val="left"/>
        <w:rPr>
          <w:rFonts w:ascii="宋体" w:hAnsi="宋体"/>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投标报价</w:t>
      </w:r>
    </w:p>
    <w:p>
      <w:pPr>
        <w:pStyle w:val="13"/>
        <w:spacing w:beforeLines="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本次投标采用人民币报价。</w:t>
      </w:r>
    </w:p>
    <w:p>
      <w:pPr>
        <w:pStyle w:val="13"/>
        <w:spacing w:beforeLines="0" w:afterLines="0" w:line="288" w:lineRule="auto"/>
        <w:ind w:firstLine="398" w:firstLineChars="200"/>
        <w:jc w:val="left"/>
        <w:rPr>
          <w:rFonts w:hAnsi="宋体"/>
          <w:spacing w:val="-6"/>
          <w:sz w:val="21"/>
          <w:szCs w:val="21"/>
        </w:rPr>
      </w:pPr>
      <w:r>
        <w:rPr>
          <w:rFonts w:hint="eastAsia" w:hAnsi="宋体"/>
          <w:b/>
          <w:spacing w:val="-6"/>
          <w:sz w:val="21"/>
          <w:szCs w:val="21"/>
        </w:rPr>
        <w:t>2.</w:t>
      </w:r>
      <w:r>
        <w:rPr>
          <w:rFonts w:hAnsi="宋体"/>
          <w:b/>
          <w:spacing w:val="-6"/>
          <w:sz w:val="21"/>
          <w:szCs w:val="21"/>
        </w:rPr>
        <w:t>投标报价是指一次性报出不得更改的价格</w:t>
      </w:r>
      <w:r>
        <w:rPr>
          <w:rFonts w:hint="eastAsia" w:hAnsi="宋体"/>
          <w:b/>
          <w:spacing w:val="-6"/>
          <w:sz w:val="21"/>
          <w:szCs w:val="21"/>
        </w:rPr>
        <w:t>，</w:t>
      </w:r>
      <w:r>
        <w:rPr>
          <w:rFonts w:hAnsi="宋体"/>
          <w:b/>
          <w:spacing w:val="-6"/>
          <w:sz w:val="21"/>
          <w:szCs w:val="21"/>
        </w:rPr>
        <w:t>投标报价应按招标文件中相关附表格式填写</w:t>
      </w:r>
      <w:r>
        <w:rPr>
          <w:rFonts w:hint="eastAsia" w:hAnsi="宋体"/>
          <w:b/>
          <w:spacing w:val="-6"/>
          <w:sz w:val="21"/>
          <w:szCs w:val="21"/>
        </w:rPr>
        <w:t>。</w:t>
      </w:r>
    </w:p>
    <w:p>
      <w:pPr>
        <w:pStyle w:val="13"/>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Ansi="宋体"/>
          <w:spacing w:val="-6"/>
          <w:sz w:val="21"/>
          <w:szCs w:val="21"/>
        </w:rPr>
        <w:t>投标报价是履行合同的最终价格，应包括</w:t>
      </w:r>
      <w:r>
        <w:rPr>
          <w:rFonts w:hint="eastAsia" w:hAnsi="宋体"/>
          <w:spacing w:val="-6"/>
          <w:sz w:val="21"/>
          <w:szCs w:val="21"/>
        </w:rPr>
        <w:t>完成所有产品供货及履行所有规定服务所产生的全部费用</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pStyle w:val="8"/>
        <w:widowControl w:val="0"/>
        <w:numPr>
          <w:ilvl w:val="0"/>
          <w:numId w:val="0"/>
        </w:numPr>
        <w:spacing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投标文件的有效期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▲1.自投标截止日起90天投标文件应保持有效。有效期不足的投标文件将被拒绝。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2.在特殊情况下，采购代理机构可与投标人协商延长投标文件的有效期，这种要求和答复均以书面形式进行。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3.投标人可拒绝接受延期要求而不会导致投标保证金被没收。同意延长有效期的投标人需要相应延长投标保证金的有效期，但不能修改投标文件。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4.中标方的投标文件自开标之日起至合同履行完毕止均应保持有效。</w:t>
      </w:r>
    </w:p>
    <w:p>
      <w:pPr>
        <w:spacing w:line="288" w:lineRule="auto"/>
        <w:jc w:val="left"/>
        <w:rPr>
          <w:rFonts w:ascii="宋体" w:hAnsi="宋体"/>
          <w:b/>
          <w:spacing w:val="-6"/>
          <w:sz w:val="24"/>
        </w:rPr>
      </w:pPr>
      <w:r>
        <w:rPr>
          <w:rFonts w:hint="eastAsia" w:ascii="宋体" w:hAnsi="宋体"/>
          <w:b/>
          <w:spacing w:val="-6"/>
          <w:sz w:val="24"/>
        </w:rPr>
        <w:t>（七） 投标保证金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▲1.投标人须按时提交投标保证金。否则，其投标将被拒绝。</w:t>
      </w:r>
    </w:p>
    <w:p>
      <w:pPr>
        <w:spacing w:line="288" w:lineRule="auto"/>
        <w:ind w:firstLine="396" w:firstLineChars="200"/>
        <w:jc w:val="left"/>
        <w:rPr>
          <w:rFonts w:ascii="宋体" w:hAnsi="宋体" w:cs="宋体"/>
          <w:b/>
          <w:spacing w:val="-6"/>
          <w:kern w:val="0"/>
          <w:sz w:val="21"/>
          <w:szCs w:val="21"/>
        </w:rPr>
      </w:pPr>
      <w:r>
        <w:rPr>
          <w:rFonts w:hint="eastAsia" w:ascii="宋体" w:hAnsi="宋体"/>
          <w:spacing w:val="-6"/>
          <w:sz w:val="21"/>
          <w:szCs w:val="21"/>
        </w:rPr>
        <w:t>2.保证金支付形式：</w:t>
      </w:r>
      <w:r>
        <w:rPr>
          <w:rFonts w:hint="eastAsia" w:ascii="宋体" w:hAnsi="宋体" w:cs="宋体"/>
          <w:b/>
          <w:spacing w:val="-6"/>
          <w:kern w:val="0"/>
          <w:sz w:val="21"/>
          <w:szCs w:val="21"/>
        </w:rPr>
        <w:t>转账、银行汇款等非现金方式。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3.未中标方的保证金，自中标通知书发出之日起五个工作日内凭保证金收据自行退还。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4.中标方的保证金，自政府采购合同签订之日起五个工作日内凭保证金收据自行退还。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保证金不计息。</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6.下列情况，投标保证金将不予退还：</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（1）投标人在投标有效期内撤回投标文件的；</w:t>
      </w:r>
    </w:p>
    <w:p>
      <w:pPr>
        <w:pStyle w:val="13"/>
        <w:widowControl/>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投标人在投标过程中弄虚作假，提供虚假材料的；</w:t>
      </w:r>
    </w:p>
    <w:p>
      <w:pPr>
        <w:pStyle w:val="13"/>
        <w:widowControl/>
        <w:spacing w:beforeLines="0" w:afterLines="0" w:line="288" w:lineRule="auto"/>
        <w:ind w:firstLine="396" w:firstLineChars="200"/>
        <w:jc w:val="left"/>
        <w:rPr>
          <w:rFonts w:hAnsi="宋体"/>
          <w:spacing w:val="-6"/>
          <w:sz w:val="21"/>
          <w:szCs w:val="21"/>
        </w:rPr>
      </w:pPr>
      <w:r>
        <w:rPr>
          <w:rFonts w:hint="eastAsia" w:hAnsi="宋体"/>
          <w:spacing w:val="-6"/>
          <w:sz w:val="21"/>
          <w:szCs w:val="21"/>
        </w:rPr>
        <w:t>（3）中标方无正当理由不与采购人签订合同的；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bCs/>
          <w:spacing w:val="-6"/>
          <w:sz w:val="21"/>
          <w:szCs w:val="21"/>
        </w:rPr>
        <w:t>将中标项目转让给他人，或者在投标文件中未说明，且未经招标采购单位同意，将中标项目分包给他人的；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（5）其他严重扰乱招投标程序的。</w:t>
      </w:r>
    </w:p>
    <w:p>
      <w:pPr>
        <w:spacing w:line="288" w:lineRule="auto"/>
        <w:rPr>
          <w:rFonts w:ascii="宋体" w:hAnsi="宋体"/>
          <w:b/>
          <w:spacing w:val="-6"/>
          <w:sz w:val="24"/>
        </w:rPr>
      </w:pPr>
      <w:r>
        <w:rPr>
          <w:rFonts w:hint="eastAsia" w:ascii="宋体" w:hAnsi="宋体"/>
          <w:b/>
          <w:spacing w:val="-6"/>
          <w:sz w:val="24"/>
        </w:rPr>
        <w:t>（八） 投标无效的情形</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288" w:lineRule="auto"/>
        <w:ind w:firstLine="396" w:firstLineChars="200"/>
        <w:rPr>
          <w:rFonts w:ascii="宋体" w:hAnsi="宋体"/>
          <w:spacing w:val="-6"/>
          <w:sz w:val="21"/>
          <w:szCs w:val="21"/>
        </w:rPr>
      </w:pPr>
      <w:r>
        <w:rPr>
          <w:rFonts w:hint="eastAsia" w:ascii="宋体" w:hAnsi="宋体"/>
          <w:spacing w:val="-6"/>
          <w:sz w:val="21"/>
          <w:szCs w:val="21"/>
        </w:rPr>
        <w:t>1.在符合性审查和商务评审时，如发现下列情形之一的，投标文件将被视为无效：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）资格证明文件不全的，或者不符合招标文件标明的资格要求的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）投标文件未</w:t>
      </w:r>
      <w:r>
        <w:rPr>
          <w:rFonts w:hint="eastAsia" w:ascii="宋体" w:hAnsi="宋体"/>
          <w:spacing w:val="-6"/>
          <w:sz w:val="21"/>
          <w:szCs w:val="21"/>
        </w:rPr>
        <w:t>提供</w:t>
      </w:r>
      <w:r>
        <w:rPr>
          <w:rFonts w:ascii="宋体" w:hAnsi="宋体"/>
          <w:spacing w:val="-6"/>
          <w:sz w:val="21"/>
          <w:szCs w:val="21"/>
        </w:rPr>
        <w:t>或提供无效的</w:t>
      </w:r>
      <w:r>
        <w:rPr>
          <w:rFonts w:hint="eastAsia" w:ascii="宋体" w:hAnsi="宋体"/>
          <w:spacing w:val="-6"/>
          <w:sz w:val="21"/>
          <w:szCs w:val="21"/>
        </w:rPr>
        <w:t>投标函、</w:t>
      </w:r>
      <w:r>
        <w:rPr>
          <w:rFonts w:ascii="宋体" w:hAnsi="宋体"/>
          <w:spacing w:val="-6"/>
          <w:sz w:val="21"/>
          <w:szCs w:val="21"/>
        </w:rPr>
        <w:t>法定代表人资格证明</w:t>
      </w:r>
      <w:r>
        <w:rPr>
          <w:rFonts w:hint="eastAsia" w:ascii="宋体" w:hAnsi="宋体"/>
          <w:spacing w:val="-6"/>
          <w:sz w:val="21"/>
          <w:szCs w:val="21"/>
        </w:rPr>
        <w:t>书</w:t>
      </w:r>
      <w:r>
        <w:rPr>
          <w:rFonts w:ascii="宋体" w:hAnsi="宋体"/>
          <w:spacing w:val="-6"/>
          <w:sz w:val="21"/>
          <w:szCs w:val="21"/>
        </w:rPr>
        <w:t>或附法定代表人资格证明</w:t>
      </w:r>
      <w:r>
        <w:rPr>
          <w:rFonts w:hint="eastAsia" w:ascii="宋体" w:hAnsi="宋体"/>
          <w:spacing w:val="-6"/>
          <w:sz w:val="21"/>
          <w:szCs w:val="21"/>
        </w:rPr>
        <w:t>书</w:t>
      </w:r>
      <w:r>
        <w:rPr>
          <w:rFonts w:ascii="宋体" w:hAnsi="宋体"/>
          <w:spacing w:val="-6"/>
          <w:sz w:val="21"/>
          <w:szCs w:val="21"/>
        </w:rPr>
        <w:t>的法定代表人授权</w:t>
      </w:r>
      <w:r>
        <w:rPr>
          <w:rFonts w:hint="eastAsia" w:ascii="宋体" w:hAnsi="宋体"/>
          <w:spacing w:val="-6"/>
          <w:sz w:val="21"/>
          <w:szCs w:val="21"/>
        </w:rPr>
        <w:t>委托</w:t>
      </w:r>
      <w:r>
        <w:rPr>
          <w:rFonts w:ascii="宋体" w:hAnsi="宋体"/>
          <w:spacing w:val="-6"/>
          <w:sz w:val="21"/>
          <w:szCs w:val="21"/>
        </w:rPr>
        <w:t>书</w:t>
      </w:r>
      <w:r>
        <w:rPr>
          <w:rFonts w:hint="eastAsia" w:ascii="宋体" w:hAnsi="宋体"/>
          <w:spacing w:val="-6"/>
          <w:sz w:val="21"/>
          <w:szCs w:val="21"/>
        </w:rPr>
        <w:t>、投标声明书或者填写项目不齐全的；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）投标文件格式不规范、项目不齐全或者内容虚假的；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（4）未提供或未如实提供商务偏离表的；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5</w:t>
      </w:r>
      <w:r>
        <w:rPr>
          <w:rFonts w:ascii="宋体" w:hAnsi="宋体"/>
          <w:spacing w:val="-6"/>
          <w:sz w:val="21"/>
          <w:szCs w:val="21"/>
        </w:rPr>
        <w:t>）未实质性响应招标文件中标“▲”的要求或者投标文件有招标采购单位不能接受的</w:t>
      </w:r>
      <w:r>
        <w:rPr>
          <w:rFonts w:hint="eastAsia" w:ascii="宋体" w:hAnsi="宋体"/>
          <w:spacing w:val="-6"/>
          <w:sz w:val="21"/>
          <w:szCs w:val="21"/>
        </w:rPr>
        <w:t>偏离或</w:t>
      </w:r>
      <w:r>
        <w:rPr>
          <w:rFonts w:ascii="宋体" w:hAnsi="宋体"/>
          <w:spacing w:val="-6"/>
          <w:sz w:val="21"/>
          <w:szCs w:val="21"/>
        </w:rPr>
        <w:t>附加条件的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（6）经查询存在不良信用记录的；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（7）不符合法律法规规定的其他要求的。</w:t>
      </w:r>
    </w:p>
    <w:p>
      <w:pPr>
        <w:pStyle w:val="11"/>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在技术</w:t>
      </w:r>
      <w:r>
        <w:rPr>
          <w:rFonts w:hint="eastAsia" w:hAnsi="宋体"/>
          <w:spacing w:val="-6"/>
          <w:sz w:val="21"/>
          <w:szCs w:val="21"/>
        </w:rPr>
        <w:t>评审</w:t>
      </w:r>
      <w:r>
        <w:rPr>
          <w:rFonts w:hAnsi="宋体"/>
          <w:spacing w:val="-6"/>
          <w:sz w:val="21"/>
          <w:szCs w:val="21"/>
        </w:rPr>
        <w:t>时，如发现下列情形之一的，投标文件将被视为无效：</w:t>
      </w:r>
    </w:p>
    <w:p>
      <w:pPr>
        <w:spacing w:line="288" w:lineRule="auto"/>
        <w:ind w:firstLine="396" w:firstLineChars="200"/>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未提供或未如实提供技术偏离表的；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未提供或未如实提供投标货物的技术参数，或者投标文件标明的响应或偏离与事实不符或虚假投标的；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招标文件中标“▲”的技术指标、主要功能项目发生实质性偏离的；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4</w:t>
      </w:r>
      <w:r>
        <w:rPr>
          <w:rFonts w:ascii="宋体" w:hAnsi="宋体"/>
          <w:spacing w:val="-6"/>
          <w:sz w:val="21"/>
          <w:szCs w:val="21"/>
        </w:rPr>
        <w:t>）投标技术方案不明确，存在一个或一个以上备选（替代）投标方案的；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（5）与其他参加本次投标供应商的投标文件（技术文件）的文字表述内容差错相同2处以上的。</w:t>
      </w:r>
    </w:p>
    <w:p>
      <w:pPr>
        <w:pStyle w:val="11"/>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在报价评审时，如发现下列情形之一的，投标文件将被视为无效：</w:t>
      </w:r>
    </w:p>
    <w:p>
      <w:pPr>
        <w:spacing w:line="288" w:lineRule="auto"/>
        <w:ind w:firstLine="396" w:firstLineChars="200"/>
        <w:rPr>
          <w:rFonts w:ascii="宋体" w:hAnsi="宋体"/>
          <w:spacing w:val="-6"/>
          <w:sz w:val="21"/>
          <w:szCs w:val="21"/>
        </w:rPr>
      </w:pPr>
      <w:r>
        <w:rPr>
          <w:rFonts w:ascii="宋体" w:hAnsi="宋体"/>
          <w:spacing w:val="-6"/>
          <w:sz w:val="21"/>
          <w:szCs w:val="21"/>
        </w:rPr>
        <w:t>（1）未按照招标文件标明的币种报价的；</w:t>
      </w:r>
    </w:p>
    <w:p>
      <w:pPr>
        <w:spacing w:line="288" w:lineRule="auto"/>
        <w:ind w:firstLine="396" w:firstLineChars="200"/>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w:t>
      </w:r>
      <w:r>
        <w:rPr>
          <w:rFonts w:ascii="宋体" w:hAnsi="宋体"/>
          <w:spacing w:val="-6"/>
          <w:sz w:val="21"/>
          <w:szCs w:val="21"/>
        </w:rPr>
        <w:t>报价超出最高限价，或者超出采购预算金额的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（3）投标报价具有选择性，或者开标价格与投标文件承诺的优惠（折扣）价格不一致的；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（4）投标报价明显高于其市场报价或低于成本价且不能合理说明原因并提供证明材料的。</w:t>
      </w:r>
    </w:p>
    <w:p>
      <w:pPr>
        <w:pStyle w:val="11"/>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被拒绝的投标文件为无效。</w:t>
      </w:r>
    </w:p>
    <w:p>
      <w:pPr>
        <w:pStyle w:val="13"/>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11"/>
        <w:spacing w:line="288" w:lineRule="auto"/>
        <w:ind w:firstLine="0"/>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1"/>
        <w:spacing w:line="288" w:lineRule="auto"/>
        <w:ind w:firstLine="0"/>
        <w:rPr>
          <w:rFonts w:hAnsi="宋体"/>
          <w:b/>
          <w:spacing w:val="-6"/>
          <w:sz w:val="24"/>
          <w:szCs w:val="24"/>
        </w:rPr>
      </w:pPr>
      <w:r>
        <w:rPr>
          <w:rFonts w:hint="eastAsia" w:hAnsi="宋体"/>
          <w:b/>
          <w:spacing w:val="-6"/>
          <w:sz w:val="24"/>
          <w:szCs w:val="24"/>
        </w:rPr>
        <w:t>（二） 开标程序</w:t>
      </w:r>
    </w:p>
    <w:p>
      <w:pPr>
        <w:pStyle w:val="11"/>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文件规定的时间、地点和程序组织开标，开标原则上应采取先拆封商务和技术文件、后拆封报价文件的顺序进行。具体按以下程序进行：</w:t>
      </w:r>
    </w:p>
    <w:p>
      <w:pPr>
        <w:pStyle w:val="11"/>
        <w:spacing w:line="288" w:lineRule="auto"/>
        <w:ind w:firstLine="396" w:firstLineChars="200"/>
        <w:rPr>
          <w:rFonts w:hAnsi="宋体"/>
          <w:sz w:val="21"/>
          <w:szCs w:val="21"/>
        </w:rPr>
      </w:pPr>
      <w:r>
        <w:rPr>
          <w:rFonts w:hint="eastAsia" w:hAnsi="宋体"/>
          <w:spacing w:val="-6"/>
          <w:sz w:val="21"/>
          <w:szCs w:val="21"/>
        </w:rPr>
        <w:t>1.</w:t>
      </w:r>
      <w:r>
        <w:rPr>
          <w:rFonts w:hAnsi="宋体"/>
          <w:sz w:val="21"/>
          <w:szCs w:val="21"/>
        </w:rPr>
        <w:t>开启开标场地的录音录像采集设备，并确保其正常运行。</w:t>
      </w:r>
    </w:p>
    <w:p>
      <w:pPr>
        <w:pStyle w:val="11"/>
        <w:spacing w:line="288" w:lineRule="auto"/>
        <w:ind w:firstLine="404" w:firstLineChars="200"/>
        <w:rPr>
          <w:rFonts w:hAnsi="宋体"/>
          <w:sz w:val="21"/>
          <w:szCs w:val="21"/>
        </w:rPr>
      </w:pPr>
      <w:r>
        <w:rPr>
          <w:rFonts w:hint="eastAsia" w:hAnsi="宋体"/>
          <w:sz w:val="21"/>
          <w:szCs w:val="21"/>
        </w:rPr>
        <w:t>2.</w:t>
      </w:r>
      <w:r>
        <w:rPr>
          <w:rFonts w:hAnsi="宋体"/>
          <w:sz w:val="21"/>
          <w:szCs w:val="21"/>
        </w:rPr>
        <w:t>核验出席开标活动现场的各授权供应商代表及相关单位人员身份，并组织其分别登记、签到，无关人员可拒绝其进入现场。</w:t>
      </w:r>
    </w:p>
    <w:p>
      <w:pPr>
        <w:pStyle w:val="11"/>
        <w:spacing w:line="288" w:lineRule="auto"/>
        <w:ind w:firstLine="404" w:firstLineChars="200"/>
        <w:rPr>
          <w:rFonts w:hAnsi="宋体"/>
          <w:sz w:val="21"/>
          <w:szCs w:val="21"/>
        </w:rPr>
      </w:pPr>
      <w:r>
        <w:rPr>
          <w:rFonts w:hint="eastAsia" w:hAnsi="宋体"/>
          <w:sz w:val="21"/>
          <w:szCs w:val="21"/>
        </w:rPr>
        <w:t>3.</w:t>
      </w:r>
      <w:r>
        <w:rPr>
          <w:rFonts w:hAnsi="宋体"/>
          <w:sz w:val="21"/>
          <w:szCs w:val="21"/>
        </w:rPr>
        <w:t>对现场接受</w:t>
      </w:r>
      <w:r>
        <w:rPr>
          <w:rFonts w:hint="eastAsia" w:hAnsi="宋体"/>
          <w:sz w:val="21"/>
          <w:szCs w:val="21"/>
        </w:rPr>
        <w:t>投标文件的，</w:t>
      </w:r>
      <w:r>
        <w:rPr>
          <w:rFonts w:hAnsi="宋体"/>
          <w:sz w:val="21"/>
          <w:szCs w:val="21"/>
        </w:rPr>
        <w:t>由现场工作人员接收</w:t>
      </w:r>
      <w:r>
        <w:rPr>
          <w:rFonts w:hint="eastAsia" w:hAnsi="宋体"/>
          <w:sz w:val="21"/>
          <w:szCs w:val="21"/>
        </w:rPr>
        <w:t>投标</w:t>
      </w:r>
      <w:r>
        <w:rPr>
          <w:rFonts w:hAnsi="宋体"/>
          <w:sz w:val="21"/>
          <w:szCs w:val="21"/>
        </w:rPr>
        <w:t>文件并登记，请供应商代表对</w:t>
      </w:r>
      <w:r>
        <w:rPr>
          <w:rFonts w:hint="eastAsia" w:hAnsi="宋体"/>
          <w:sz w:val="21"/>
          <w:szCs w:val="21"/>
        </w:rPr>
        <w:t>投标文件</w:t>
      </w:r>
      <w:r>
        <w:rPr>
          <w:rFonts w:hAnsi="宋体"/>
          <w:sz w:val="21"/>
          <w:szCs w:val="21"/>
        </w:rPr>
        <w:t>的递交记录情况进行签字确认。</w:t>
      </w:r>
    </w:p>
    <w:p>
      <w:pPr>
        <w:pStyle w:val="11"/>
        <w:spacing w:line="288" w:lineRule="auto"/>
        <w:ind w:firstLine="404" w:firstLineChars="200"/>
        <w:rPr>
          <w:rFonts w:hAnsi="宋体"/>
          <w:sz w:val="21"/>
          <w:szCs w:val="21"/>
        </w:rPr>
      </w:pPr>
      <w:r>
        <w:rPr>
          <w:rFonts w:hint="eastAsia" w:hAnsi="宋体"/>
          <w:sz w:val="21"/>
          <w:szCs w:val="21"/>
        </w:rPr>
        <w:t>4.</w:t>
      </w:r>
      <w:r>
        <w:rPr>
          <w:rFonts w:hAnsi="宋体"/>
          <w:sz w:val="21"/>
          <w:szCs w:val="21"/>
        </w:rPr>
        <w:t>主持人宣布开标，介绍开标现场的人员情况，宣读递交</w:t>
      </w:r>
      <w:r>
        <w:rPr>
          <w:rFonts w:hint="eastAsia" w:hAnsi="宋体"/>
          <w:sz w:val="21"/>
          <w:szCs w:val="21"/>
        </w:rPr>
        <w:t>投标文件的供应商名单</w:t>
      </w:r>
      <w:r>
        <w:rPr>
          <w:rFonts w:hAnsi="宋体"/>
          <w:sz w:val="21"/>
          <w:szCs w:val="21"/>
        </w:rPr>
        <w:t>、开标纪律、应当回避的情形等注意事项，组织供应商签署不存在影响公平竞争的《政府采购活动现场确认声明书》。</w:t>
      </w:r>
    </w:p>
    <w:p>
      <w:pPr>
        <w:pStyle w:val="11"/>
        <w:spacing w:line="288" w:lineRule="auto"/>
        <w:ind w:firstLine="404" w:firstLineChars="200"/>
        <w:rPr>
          <w:rFonts w:hAnsi="宋体"/>
          <w:sz w:val="21"/>
          <w:szCs w:val="21"/>
        </w:rPr>
      </w:pPr>
      <w:r>
        <w:rPr>
          <w:rFonts w:hint="eastAsia" w:hAnsi="宋体"/>
          <w:sz w:val="21"/>
          <w:szCs w:val="21"/>
        </w:rPr>
        <w:t>5.</w:t>
      </w:r>
      <w:r>
        <w:rPr>
          <w:rFonts w:hAnsi="宋体"/>
          <w:sz w:val="21"/>
          <w:szCs w:val="21"/>
        </w:rPr>
        <w:t>对供应商</w:t>
      </w:r>
      <w:r>
        <w:rPr>
          <w:rFonts w:hint="eastAsia" w:hAnsi="宋体"/>
          <w:sz w:val="21"/>
          <w:szCs w:val="21"/>
        </w:rPr>
        <w:t>投标保证金缴纳情况进行查验</w:t>
      </w:r>
      <w:r>
        <w:rPr>
          <w:rFonts w:hAnsi="宋体"/>
          <w:sz w:val="21"/>
          <w:szCs w:val="21"/>
        </w:rPr>
        <w:t>、核实，提请供应商代表或公证人员查验投标文件密封情况。</w:t>
      </w:r>
    </w:p>
    <w:p>
      <w:pPr>
        <w:pStyle w:val="11"/>
        <w:spacing w:line="288" w:lineRule="auto"/>
        <w:ind w:firstLine="404" w:firstLineChars="200"/>
        <w:rPr>
          <w:rFonts w:hAnsi="宋体"/>
          <w:sz w:val="21"/>
          <w:szCs w:val="21"/>
        </w:rPr>
      </w:pPr>
      <w:r>
        <w:rPr>
          <w:rFonts w:hint="eastAsia" w:hAnsi="宋体"/>
          <w:sz w:val="21"/>
          <w:szCs w:val="21"/>
        </w:rPr>
        <w:t>6.</w:t>
      </w:r>
      <w:r>
        <w:rPr>
          <w:rFonts w:hAnsi="宋体"/>
          <w:sz w:val="21"/>
          <w:szCs w:val="21"/>
        </w:rPr>
        <w:t>按供应商提交投标文件的先后顺序当众拆封、清点</w:t>
      </w:r>
      <w:r>
        <w:rPr>
          <w:rFonts w:hint="eastAsia" w:hAnsi="宋体"/>
          <w:sz w:val="21"/>
          <w:szCs w:val="21"/>
        </w:rPr>
        <w:t>投标</w:t>
      </w:r>
      <w:r>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Pr>
          <w:rFonts w:hint="eastAsia" w:hAnsi="宋体"/>
          <w:sz w:val="21"/>
          <w:szCs w:val="21"/>
        </w:rPr>
        <w:t>投标文件</w:t>
      </w:r>
      <w:r>
        <w:rPr>
          <w:rFonts w:hAnsi="宋体"/>
          <w:sz w:val="21"/>
          <w:szCs w:val="21"/>
        </w:rPr>
        <w:t>，</w:t>
      </w:r>
      <w:r>
        <w:rPr>
          <w:rFonts w:hint="eastAsia" w:hAnsi="宋体"/>
          <w:sz w:val="21"/>
          <w:szCs w:val="21"/>
        </w:rPr>
        <w:t>由现场工作人员退还供应商代表</w:t>
      </w:r>
      <w:r>
        <w:rPr>
          <w:rFonts w:hAnsi="宋体"/>
          <w:sz w:val="21"/>
          <w:szCs w:val="21"/>
        </w:rPr>
        <w:t>。</w:t>
      </w:r>
    </w:p>
    <w:p>
      <w:pPr>
        <w:pStyle w:val="11"/>
        <w:spacing w:line="288" w:lineRule="auto"/>
        <w:ind w:firstLine="404" w:firstLineChars="200"/>
        <w:rPr>
          <w:rFonts w:hAnsi="宋体"/>
          <w:sz w:val="21"/>
          <w:szCs w:val="21"/>
        </w:rPr>
      </w:pPr>
      <w:r>
        <w:rPr>
          <w:rFonts w:hint="eastAsia" w:hAnsi="宋体"/>
          <w:sz w:val="21"/>
          <w:szCs w:val="21"/>
        </w:rPr>
        <w:t>7.</w:t>
      </w:r>
      <w:r>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pPr>
        <w:pStyle w:val="11"/>
        <w:spacing w:line="288" w:lineRule="auto"/>
        <w:ind w:firstLine="404" w:firstLineChars="200"/>
        <w:rPr>
          <w:rFonts w:hAnsi="宋体"/>
          <w:sz w:val="21"/>
          <w:szCs w:val="21"/>
        </w:rPr>
      </w:pPr>
      <w:r>
        <w:rPr>
          <w:rFonts w:hint="eastAsia" w:hAnsi="宋体"/>
          <w:sz w:val="21"/>
          <w:szCs w:val="21"/>
        </w:rPr>
        <w:t>8.</w:t>
      </w:r>
      <w:r>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1"/>
        <w:spacing w:line="288" w:lineRule="auto"/>
        <w:ind w:firstLine="404" w:firstLineChars="200"/>
        <w:rPr>
          <w:rFonts w:hAnsi="宋体"/>
          <w:sz w:val="21"/>
          <w:szCs w:val="21"/>
        </w:rPr>
      </w:pPr>
      <w:r>
        <w:rPr>
          <w:rFonts w:hint="eastAsia" w:hAnsi="宋体"/>
          <w:sz w:val="21"/>
          <w:szCs w:val="21"/>
        </w:rPr>
        <w:t>9.</w:t>
      </w:r>
      <w:r>
        <w:rPr>
          <w:rFonts w:hAnsi="宋体"/>
          <w:sz w:val="21"/>
          <w:szCs w:val="21"/>
        </w:rPr>
        <w:t>评审结束后，主持人公布中标候选供应商名单，及采购人最终确定中标供应商名单的时间和公告方式等。</w:t>
      </w:r>
    </w:p>
    <w:p>
      <w:pPr>
        <w:pStyle w:val="13"/>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五</w:t>
      </w:r>
      <w:r>
        <w:rPr>
          <w:rFonts w:hint="eastAsia" w:hAnsi="宋体"/>
          <w:b/>
          <w:spacing w:val="-6"/>
          <w:sz w:val="32"/>
          <w:szCs w:val="32"/>
        </w:rPr>
        <w:t>、评  标</w:t>
      </w:r>
    </w:p>
    <w:p>
      <w:pPr>
        <w:spacing w:line="288" w:lineRule="auto"/>
        <w:rPr>
          <w:rFonts w:ascii="宋体" w:hAnsi="宋体"/>
          <w:b/>
          <w:spacing w:val="-6"/>
          <w:sz w:val="24"/>
        </w:rPr>
      </w:pPr>
      <w:r>
        <w:rPr>
          <w:rFonts w:hint="eastAsia" w:ascii="宋体" w:hAnsi="宋体"/>
          <w:b/>
          <w:spacing w:val="-6"/>
          <w:sz w:val="24"/>
        </w:rPr>
        <w:t>（一） 组建评标委员会</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本项目评标委员会由政府采购评审专家共</w:t>
      </w:r>
      <w:r>
        <w:rPr>
          <w:rFonts w:hint="eastAsia" w:hAnsi="宋体"/>
          <w:spacing w:val="-6"/>
          <w:sz w:val="21"/>
          <w:szCs w:val="21"/>
        </w:rPr>
        <w:t>5</w:t>
      </w:r>
      <w:r>
        <w:rPr>
          <w:rFonts w:hAnsi="宋体"/>
          <w:spacing w:val="-6"/>
          <w:sz w:val="21"/>
          <w:szCs w:val="21"/>
        </w:rPr>
        <w:t>人组成。</w:t>
      </w:r>
    </w:p>
    <w:p>
      <w:pPr>
        <w:pStyle w:val="11"/>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xml:space="preserve">） </w:t>
      </w:r>
      <w:r>
        <w:rPr>
          <w:rFonts w:hAnsi="宋体"/>
          <w:b/>
          <w:spacing w:val="-6"/>
          <w:sz w:val="24"/>
          <w:szCs w:val="24"/>
        </w:rPr>
        <w:t>评标的方式</w:t>
      </w:r>
    </w:p>
    <w:p>
      <w:pPr>
        <w:pStyle w:val="11"/>
        <w:spacing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11"/>
        <w:spacing w:line="288" w:lineRule="auto"/>
        <w:ind w:firstLine="0"/>
        <w:rPr>
          <w:rFonts w:hAnsi="宋体"/>
          <w:b/>
          <w:spacing w:val="-6"/>
          <w:sz w:val="24"/>
          <w:szCs w:val="24"/>
        </w:rPr>
      </w:pPr>
      <w:r>
        <w:rPr>
          <w:rFonts w:hAnsi="宋体"/>
          <w:b/>
          <w:spacing w:val="-6"/>
          <w:sz w:val="24"/>
          <w:szCs w:val="24"/>
        </w:rPr>
        <w:t>（三）评标程序</w:t>
      </w:r>
    </w:p>
    <w:p>
      <w:pPr>
        <w:pStyle w:val="11"/>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11"/>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1"/>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各成员和相关监督人员身份，并要求其分别登记、签到，按规定统一收缴、保存其通讯工具，无关人员一律拒绝其进入评审现场。</w:t>
      </w:r>
    </w:p>
    <w:p>
      <w:pPr>
        <w:pStyle w:val="11"/>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11"/>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通报报名参加本项目采购的供应商名单及资格预审情况（如有），宣读最终提交</w:t>
      </w:r>
      <w:r>
        <w:rPr>
          <w:rFonts w:hint="eastAsia" w:hAnsi="宋体"/>
          <w:spacing w:val="-6"/>
          <w:sz w:val="21"/>
          <w:szCs w:val="21"/>
        </w:rPr>
        <w:t>投标文件</w:t>
      </w:r>
      <w:r>
        <w:rPr>
          <w:rFonts w:hAnsi="宋体"/>
          <w:spacing w:val="-6"/>
          <w:sz w:val="21"/>
          <w:szCs w:val="21"/>
        </w:rPr>
        <w:t>的供应商名单，组织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11"/>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11"/>
        <w:spacing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1"/>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11"/>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11"/>
        <w:spacing w:line="288" w:lineRule="auto"/>
        <w:ind w:firstLine="0"/>
        <w:rPr>
          <w:rFonts w:hAnsi="宋体"/>
          <w:b/>
          <w:spacing w:val="-6"/>
          <w:sz w:val="24"/>
          <w:szCs w:val="24"/>
        </w:rPr>
      </w:pPr>
      <w:r>
        <w:rPr>
          <w:rFonts w:hAnsi="宋体"/>
          <w:b/>
          <w:spacing w:val="-6"/>
          <w:sz w:val="24"/>
          <w:szCs w:val="24"/>
        </w:rPr>
        <w:t>（四）澄清问题的形式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1"/>
        <w:spacing w:line="288" w:lineRule="auto"/>
        <w:ind w:firstLine="0"/>
        <w:rPr>
          <w:rFonts w:hAnsi="宋体"/>
          <w:b/>
          <w:spacing w:val="-6"/>
          <w:sz w:val="24"/>
          <w:szCs w:val="24"/>
        </w:rPr>
      </w:pPr>
      <w:r>
        <w:rPr>
          <w:rFonts w:hAnsi="宋体"/>
          <w:b/>
          <w:spacing w:val="-6"/>
          <w:sz w:val="24"/>
          <w:szCs w:val="24"/>
        </w:rPr>
        <w:t>（五）错误修正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投标文件如果出现计算上的错误，修正错误的原则如下：</w:t>
      </w:r>
    </w:p>
    <w:p>
      <w:pPr>
        <w:spacing w:line="288" w:lineRule="auto"/>
        <w:ind w:firstLine="396" w:firstLineChars="200"/>
        <w:rPr>
          <w:rFonts w:ascii="宋体" w:hAnsi="宋体"/>
          <w:spacing w:val="-6"/>
          <w:sz w:val="21"/>
          <w:szCs w:val="21"/>
        </w:rPr>
      </w:pPr>
      <w:r>
        <w:rPr>
          <w:rFonts w:hint="eastAsia" w:ascii="宋体" w:hAnsi="宋体"/>
          <w:spacing w:val="-6"/>
          <w:sz w:val="21"/>
          <w:szCs w:val="21"/>
        </w:rPr>
        <w:t>1．投标文件中开标一览表内容与投标文件中明细表内容不一致的，以开标一览表为准；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2．投标文件的大写金额和小写金额不一致的，以大写金额为准；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3．总价金额与按单价汇总金额不一致的，以单价金额计算结果为准；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4．单价金额小数点有明显错位的，应以总价为准，并修改单价；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5．对不同文字文本投标文件的解释发生异议的，以中文文本为准。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pPr>
        <w:pStyle w:val="11"/>
        <w:spacing w:line="288" w:lineRule="auto"/>
        <w:ind w:firstLine="0"/>
        <w:rPr>
          <w:rFonts w:hAnsi="宋体"/>
          <w:b/>
          <w:spacing w:val="-6"/>
          <w:sz w:val="24"/>
          <w:szCs w:val="24"/>
        </w:rPr>
      </w:pPr>
      <w:r>
        <w:rPr>
          <w:rFonts w:hAnsi="宋体"/>
          <w:b/>
          <w:spacing w:val="-6"/>
          <w:sz w:val="24"/>
          <w:szCs w:val="24"/>
        </w:rPr>
        <w:t>（六）评标原则和评标办法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w:t>
      </w:r>
      <w:r>
        <w:rPr>
          <w:rFonts w:ascii="宋体" w:hAnsi="宋体"/>
          <w:bCs/>
          <w:spacing w:val="-6"/>
          <w:sz w:val="21"/>
          <w:szCs w:val="21"/>
        </w:rPr>
        <w:t>评审人员对有关招标文件、投标文件、样品</w:t>
      </w:r>
      <w:r>
        <w:rPr>
          <w:rFonts w:hint="eastAsia" w:ascii="宋体" w:hAnsi="宋体"/>
          <w:bCs/>
          <w:spacing w:val="-6"/>
          <w:sz w:val="21"/>
          <w:szCs w:val="21"/>
        </w:rPr>
        <w:t>（如有）</w:t>
      </w:r>
      <w:r>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spacing w:line="288" w:lineRule="auto"/>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2.采购代理机构自中标供应商确定之日起</w:t>
      </w:r>
      <w:r>
        <w:rPr>
          <w:rFonts w:ascii="宋体" w:hAnsi="宋体"/>
          <w:spacing w:val="-6"/>
          <w:sz w:val="21"/>
          <w:szCs w:val="21"/>
        </w:rPr>
        <w:t>2</w:t>
      </w:r>
      <w:r>
        <w:rPr>
          <w:rFonts w:hint="eastAsia" w:ascii="宋体" w:hAnsi="宋体"/>
          <w:spacing w:val="-6"/>
          <w:sz w:val="21"/>
          <w:szCs w:val="21"/>
        </w:rPr>
        <w:t>个工作日内，发出中标通知书，并在浙江政府采购网</w:t>
      </w:r>
      <w:r>
        <w:rPr>
          <w:rFonts w:hint="eastAsia" w:ascii="宋体" w:hAnsi="宋体"/>
          <w:sz w:val="21"/>
          <w:szCs w:val="21"/>
        </w:rPr>
        <w:t>（</w:t>
      </w:r>
      <w:r>
        <w:fldChar w:fldCharType="begin"/>
      </w:r>
      <w:r>
        <w:instrText xml:space="preserve"> HYPERLINK "http://www.zjzfcg.gov.cn/" </w:instrText>
      </w:r>
      <w:r>
        <w:fldChar w:fldCharType="separate"/>
      </w:r>
      <w:r>
        <w:rPr>
          <w:rFonts w:hint="eastAsia" w:ascii="宋体" w:hAnsi="宋体"/>
          <w:sz w:val="21"/>
          <w:szCs w:val="21"/>
        </w:rPr>
        <w:t>http://www.zjzfcg.gov.cn</w:t>
      </w:r>
      <w:r>
        <w:rPr>
          <w:rFonts w:hint="eastAsia" w:ascii="宋体" w:hAnsi="宋体"/>
          <w:sz w:val="21"/>
          <w:szCs w:val="21"/>
        </w:rPr>
        <w:fldChar w:fldCharType="end"/>
      </w:r>
      <w:r>
        <w:rPr>
          <w:rFonts w:hint="eastAsia" w:ascii="宋体" w:hAnsi="宋体"/>
          <w:sz w:val="21"/>
          <w:szCs w:val="21"/>
        </w:rPr>
        <w:t>）等相关网站或媒体</w:t>
      </w:r>
      <w:r>
        <w:rPr>
          <w:rFonts w:hint="eastAsia" w:ascii="宋体" w:hAnsi="宋体"/>
          <w:spacing w:val="-6"/>
          <w:sz w:val="21"/>
          <w:szCs w:val="21"/>
        </w:rPr>
        <w:t>上公告中标结果，招标文件随中标结果同时公告。</w:t>
      </w:r>
    </w:p>
    <w:p>
      <w:pPr>
        <w:spacing w:line="288" w:lineRule="auto"/>
        <w:rPr>
          <w:rFonts w:ascii="宋体" w:hAnsi="宋体"/>
          <w:spacing w:val="-6"/>
          <w:sz w:val="24"/>
        </w:rPr>
      </w:pPr>
      <w:r>
        <w:rPr>
          <w:rFonts w:hint="eastAsia" w:ascii="宋体" w:hAnsi="宋体"/>
          <w:b/>
          <w:bCs/>
          <w:spacing w:val="-6"/>
          <w:sz w:val="24"/>
        </w:rPr>
        <w:t>（八）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1.中标方应当在《中标通知书》发出之日起30日内与采购人签订采购合同。</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spacing w:line="288" w:lineRule="auto"/>
        <w:rPr>
          <w:rFonts w:ascii="宋体" w:hAnsi="宋体"/>
          <w:b/>
          <w:spacing w:val="-6"/>
          <w:sz w:val="24"/>
        </w:rPr>
      </w:pPr>
      <w:r>
        <w:rPr>
          <w:rFonts w:hint="eastAsia" w:ascii="宋体" w:hAnsi="宋体"/>
          <w:b/>
          <w:spacing w:val="-6"/>
          <w:sz w:val="24"/>
        </w:rPr>
        <w:t>二、评标内容及标准</w:t>
      </w:r>
    </w:p>
    <w:tbl>
      <w:tblPr>
        <w:tblStyle w:val="28"/>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703"/>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02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3"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6716" w:type="dxa"/>
            <w:vAlign w:val="center"/>
          </w:tcPr>
          <w:p>
            <w:pPr>
              <w:pStyle w:val="43"/>
              <w:spacing w:line="288"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9440" w:type="dxa"/>
            <w:gridSpan w:val="3"/>
            <w:vAlign w:val="center"/>
          </w:tcPr>
          <w:p>
            <w:pPr>
              <w:pStyle w:val="43"/>
              <w:spacing w:line="288" w:lineRule="auto"/>
              <w:rPr>
                <w:rFonts w:hint="default" w:ascii="宋体" w:hAnsi="宋体" w:eastAsia="宋体"/>
                <w:spacing w:val="-6"/>
                <w:sz w:val="21"/>
                <w:szCs w:val="21"/>
              </w:rPr>
            </w:pPr>
            <w:r>
              <w:rPr>
                <w:rFonts w:ascii="宋体" w:hAnsi="宋体" w:eastAsia="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021" w:type="dxa"/>
            <w:tcBorders>
              <w:top w:val="single" w:color="auto" w:sz="4" w:space="0"/>
              <w:left w:val="single" w:color="auto" w:sz="4" w:space="0"/>
              <w:bottom w:val="single" w:color="auto" w:sz="4" w:space="0"/>
              <w:right w:val="single" w:color="auto" w:sz="4" w:space="0"/>
            </w:tcBorders>
            <w:vAlign w:val="center"/>
          </w:tcPr>
          <w:p>
            <w:pPr>
              <w:pStyle w:val="11"/>
              <w:spacing w:line="288" w:lineRule="auto"/>
              <w:ind w:firstLine="0"/>
              <w:jc w:val="center"/>
              <w:rPr>
                <w:rFonts w:hAnsi="宋体"/>
                <w:spacing w:val="-6"/>
                <w:sz w:val="21"/>
                <w:szCs w:val="21"/>
              </w:rPr>
            </w:pPr>
            <w:r>
              <w:rPr>
                <w:rFonts w:hAnsi="宋体"/>
                <w:spacing w:val="-6"/>
                <w:sz w:val="21"/>
                <w:szCs w:val="21"/>
              </w:rPr>
              <w:t>投标报价</w:t>
            </w:r>
          </w:p>
        </w:tc>
        <w:tc>
          <w:tcPr>
            <w:tcW w:w="70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30</w:t>
            </w:r>
          </w:p>
        </w:tc>
        <w:tc>
          <w:tcPr>
            <w:tcW w:w="6716" w:type="dxa"/>
            <w:tcBorders>
              <w:top w:val="single" w:color="auto" w:sz="4" w:space="0"/>
              <w:left w:val="single" w:color="auto" w:sz="4" w:space="0"/>
              <w:bottom w:val="single" w:color="auto" w:sz="4" w:space="0"/>
              <w:right w:val="single" w:color="auto" w:sz="4" w:space="0"/>
            </w:tcBorders>
            <w:vAlign w:val="center"/>
          </w:tcPr>
          <w:p>
            <w:pPr>
              <w:pStyle w:val="11"/>
              <w:spacing w:line="288" w:lineRule="auto"/>
              <w:ind w:firstLine="0"/>
              <w:rPr>
                <w:rFonts w:hAnsi="宋体"/>
                <w:spacing w:val="-6"/>
                <w:sz w:val="21"/>
                <w:szCs w:val="21"/>
              </w:rPr>
            </w:pPr>
            <w:r>
              <w:rPr>
                <w:rFonts w:hAnsi="宋体"/>
                <w:spacing w:val="-6"/>
                <w:sz w:val="21"/>
                <w:szCs w:val="21"/>
              </w:rPr>
              <w:t>价格分采用低价优先法计算，即满足招标文件要求且投标价格最低的投标报价为评标基准价，其他投标人的价格分按照下列公式计算：</w:t>
            </w:r>
          </w:p>
          <w:p>
            <w:pPr>
              <w:pStyle w:val="11"/>
              <w:spacing w:line="288" w:lineRule="auto"/>
              <w:ind w:firstLine="0"/>
              <w:rPr>
                <w:rFonts w:hAnsi="宋体"/>
                <w:spacing w:val="-6"/>
                <w:sz w:val="21"/>
                <w:szCs w:val="21"/>
              </w:rPr>
            </w:pPr>
            <w:r>
              <w:rPr>
                <w:rFonts w:hint="eastAsia" w:hAnsi="宋体"/>
                <w:spacing w:val="-6"/>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9440" w:type="dxa"/>
            <w:gridSpan w:val="3"/>
            <w:vAlign w:val="center"/>
          </w:tcPr>
          <w:p>
            <w:pPr>
              <w:pStyle w:val="43"/>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021" w:type="dxa"/>
            <w:shd w:val="clear" w:color="auto" w:fill="FFFFFF"/>
            <w:vAlign w:val="center"/>
          </w:tcPr>
          <w:p>
            <w:pPr>
              <w:widowControl/>
              <w:jc w:val="center"/>
              <w:rPr>
                <w:rFonts w:ascii="宋体" w:hAnsi="宋体" w:cs="宋体"/>
                <w:spacing w:val="-6"/>
                <w:sz w:val="21"/>
                <w:szCs w:val="21"/>
              </w:rPr>
            </w:pPr>
            <w:r>
              <w:rPr>
                <w:rFonts w:hint="eastAsia" w:ascii="宋体" w:hAnsi="宋体" w:cs="宋体"/>
                <w:spacing w:val="-6"/>
                <w:sz w:val="21"/>
                <w:szCs w:val="21"/>
              </w:rPr>
              <w:t>投标人资质</w:t>
            </w:r>
          </w:p>
        </w:tc>
        <w:tc>
          <w:tcPr>
            <w:tcW w:w="703" w:type="dxa"/>
            <w:shd w:val="clear" w:color="auto" w:fill="FFFFFF"/>
            <w:vAlign w:val="center"/>
          </w:tcPr>
          <w:p>
            <w:pPr>
              <w:widowControl/>
              <w:jc w:val="center"/>
              <w:rPr>
                <w:rFonts w:ascii="宋体" w:hAnsi="宋体" w:cs="宋体"/>
                <w:spacing w:val="-6"/>
                <w:sz w:val="21"/>
                <w:szCs w:val="21"/>
              </w:rPr>
            </w:pPr>
            <w:r>
              <w:rPr>
                <w:rFonts w:hint="eastAsia" w:ascii="宋体" w:hAnsi="宋体" w:cs="宋体"/>
                <w:spacing w:val="-6"/>
                <w:sz w:val="21"/>
                <w:szCs w:val="21"/>
              </w:rPr>
              <w:t>2</w:t>
            </w:r>
          </w:p>
        </w:tc>
        <w:tc>
          <w:tcPr>
            <w:tcW w:w="6716" w:type="dxa"/>
            <w:shd w:val="clear" w:color="auto" w:fill="FFFFFF"/>
            <w:vAlign w:val="center"/>
          </w:tcPr>
          <w:p>
            <w:pPr>
              <w:widowControl/>
              <w:rPr>
                <w:rFonts w:ascii="宋体" w:hAnsi="宋体" w:cs="宋体"/>
                <w:spacing w:val="-6"/>
                <w:sz w:val="21"/>
                <w:szCs w:val="21"/>
              </w:rPr>
            </w:pPr>
            <w:r>
              <w:rPr>
                <w:rFonts w:hint="eastAsia" w:ascii="宋体" w:hAnsi="宋体" w:cs="宋体"/>
                <w:spacing w:val="-6"/>
                <w:sz w:val="21"/>
                <w:szCs w:val="21"/>
              </w:rPr>
              <w:t>投标人具有报表系统产品软件著作权证书的得1分、综合数据应用平台软件著作权证书的得1分，最高得2分（投标文件中提供复印件，不提供不得分，原件备查）。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021" w:type="dxa"/>
            <w:shd w:val="clear" w:color="auto" w:fill="FFFFFF"/>
            <w:vAlign w:val="center"/>
          </w:tcPr>
          <w:p>
            <w:pPr>
              <w:widowControl/>
              <w:jc w:val="center"/>
              <w:rPr>
                <w:rFonts w:ascii="宋体" w:hAnsi="宋体"/>
                <w:spacing w:val="-6"/>
                <w:sz w:val="21"/>
                <w:szCs w:val="21"/>
              </w:rPr>
            </w:pPr>
            <w:r>
              <w:rPr>
                <w:rFonts w:hint="eastAsia" w:ascii="宋体" w:hAnsi="宋体"/>
                <w:spacing w:val="-6"/>
                <w:sz w:val="21"/>
                <w:szCs w:val="21"/>
              </w:rPr>
              <w:t>投标产品制造商资质</w:t>
            </w:r>
          </w:p>
        </w:tc>
        <w:tc>
          <w:tcPr>
            <w:tcW w:w="703" w:type="dxa"/>
            <w:shd w:val="clear" w:color="auto" w:fill="FFFFFF"/>
            <w:vAlign w:val="center"/>
          </w:tcPr>
          <w:p>
            <w:pPr>
              <w:widowControl/>
              <w:jc w:val="center"/>
              <w:rPr>
                <w:rFonts w:ascii="宋体" w:hAnsi="宋体"/>
                <w:spacing w:val="-6"/>
                <w:sz w:val="21"/>
                <w:szCs w:val="21"/>
              </w:rPr>
            </w:pPr>
            <w:r>
              <w:rPr>
                <w:rFonts w:hint="eastAsia" w:ascii="宋体" w:hAnsi="宋体"/>
                <w:spacing w:val="-6"/>
                <w:sz w:val="21"/>
                <w:szCs w:val="21"/>
              </w:rPr>
              <w:t>2</w:t>
            </w:r>
          </w:p>
        </w:tc>
        <w:tc>
          <w:tcPr>
            <w:tcW w:w="6716" w:type="dxa"/>
            <w:shd w:val="clear" w:color="auto" w:fill="FFFFFF"/>
            <w:vAlign w:val="center"/>
          </w:tcPr>
          <w:p>
            <w:pPr>
              <w:widowControl/>
              <w:rPr>
                <w:rFonts w:ascii="宋体" w:hAnsi="宋体"/>
                <w:sz w:val="21"/>
                <w:szCs w:val="21"/>
              </w:rPr>
            </w:pPr>
            <w:r>
              <w:rPr>
                <w:rFonts w:hint="eastAsia" w:ascii="宋体" w:hAnsi="宋体"/>
                <w:sz w:val="21"/>
                <w:szCs w:val="21"/>
              </w:rPr>
              <w:t>投标产品制造商具有ISO9001质量管理体系认证书的得1分，具有高新技术企业证书的得1分，最高得2分</w:t>
            </w:r>
            <w:r>
              <w:rPr>
                <w:rFonts w:hint="eastAsia" w:ascii="宋体" w:hAnsi="宋体"/>
                <w:spacing w:val="-6"/>
                <w:sz w:val="21"/>
                <w:szCs w:val="21"/>
              </w:rPr>
              <w:t>（投标文件中提供复印件，不提供不得分，原件备查）。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21"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免费</w:t>
            </w:r>
            <w:r>
              <w:rPr>
                <w:rFonts w:ascii="宋体" w:hAnsi="宋体"/>
                <w:spacing w:val="-6"/>
                <w:sz w:val="21"/>
                <w:szCs w:val="21"/>
              </w:rPr>
              <w:t>维护</w:t>
            </w:r>
            <w:r>
              <w:rPr>
                <w:rFonts w:hint="eastAsia" w:ascii="宋体" w:hAnsi="宋体"/>
                <w:spacing w:val="-6"/>
                <w:sz w:val="21"/>
                <w:szCs w:val="21"/>
              </w:rPr>
              <w:t>期</w:t>
            </w:r>
          </w:p>
        </w:tc>
        <w:tc>
          <w:tcPr>
            <w:tcW w:w="703"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2</w:t>
            </w:r>
          </w:p>
        </w:tc>
        <w:tc>
          <w:tcPr>
            <w:tcW w:w="6716" w:type="dxa"/>
            <w:shd w:val="clear" w:color="auto" w:fill="FFFFFF"/>
            <w:vAlign w:val="center"/>
          </w:tcPr>
          <w:p>
            <w:pPr>
              <w:spacing w:line="288" w:lineRule="auto"/>
              <w:rPr>
                <w:rFonts w:ascii="宋体" w:hAnsi="宋体"/>
                <w:sz w:val="21"/>
                <w:szCs w:val="21"/>
              </w:rPr>
            </w:pPr>
            <w:r>
              <w:rPr>
                <w:rFonts w:hint="eastAsia" w:ascii="宋体" w:hAnsi="宋体"/>
                <w:spacing w:val="-6"/>
                <w:sz w:val="21"/>
                <w:szCs w:val="21"/>
              </w:rPr>
              <w:t>免费维护期满足招标文件要求的得1分,每延长一年加0</w:t>
            </w:r>
            <w:r>
              <w:rPr>
                <w:rFonts w:ascii="宋体" w:hAnsi="宋体"/>
                <w:spacing w:val="-6"/>
                <w:sz w:val="21"/>
                <w:szCs w:val="21"/>
              </w:rPr>
              <w:t>.5</w:t>
            </w:r>
            <w:r>
              <w:rPr>
                <w:rFonts w:hint="eastAsia" w:ascii="宋体" w:hAnsi="宋体"/>
                <w:spacing w:val="-6"/>
                <w:sz w:val="21"/>
                <w:szCs w:val="21"/>
              </w:rPr>
              <w:t>分,最多加1分</w:t>
            </w:r>
            <w:r>
              <w:rPr>
                <w:rFonts w:ascii="宋体" w:hAnsi="宋体"/>
                <w:spacing w:val="-6"/>
                <w:sz w:val="21"/>
                <w:szCs w:val="21"/>
              </w:rPr>
              <w:t>,</w:t>
            </w:r>
            <w:r>
              <w:rPr>
                <w:rFonts w:hint="eastAsia" w:ascii="宋体" w:hAnsi="宋体"/>
                <w:spacing w:val="-6"/>
                <w:sz w:val="21"/>
                <w:szCs w:val="21"/>
              </w:rPr>
              <w:t>延长时间不足一年的不计入加分，免费</w:t>
            </w:r>
            <w:r>
              <w:rPr>
                <w:rFonts w:ascii="宋体" w:hAnsi="宋体"/>
                <w:spacing w:val="-6"/>
                <w:sz w:val="21"/>
                <w:szCs w:val="21"/>
              </w:rPr>
              <w:t>维护</w:t>
            </w:r>
            <w:r>
              <w:rPr>
                <w:rFonts w:hint="eastAsia" w:ascii="宋体" w:hAnsi="宋体"/>
                <w:spacing w:val="-6"/>
                <w:sz w:val="21"/>
                <w:szCs w:val="21"/>
              </w:rPr>
              <w:t>期</w:t>
            </w:r>
            <w:r>
              <w:rPr>
                <w:rFonts w:ascii="宋体" w:hAnsi="宋体"/>
                <w:spacing w:val="-6"/>
                <w:sz w:val="21"/>
                <w:szCs w:val="21"/>
              </w:rPr>
              <w:t>不满足招标文件要求的得0</w:t>
            </w:r>
            <w:r>
              <w:rPr>
                <w:rFonts w:hint="eastAsia" w:ascii="宋体" w:hAnsi="宋体"/>
                <w:spacing w:val="-6"/>
                <w:sz w:val="21"/>
                <w:szCs w:val="21"/>
              </w:rPr>
              <w:t>分</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21"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业绩</w:t>
            </w:r>
          </w:p>
        </w:tc>
        <w:tc>
          <w:tcPr>
            <w:tcW w:w="703" w:type="dxa"/>
            <w:shd w:val="clear" w:color="auto" w:fill="FFFFFF"/>
            <w:vAlign w:val="center"/>
          </w:tcPr>
          <w:p>
            <w:pPr>
              <w:spacing w:line="288" w:lineRule="auto"/>
              <w:jc w:val="center"/>
              <w:rPr>
                <w:rFonts w:hint="eastAsia" w:ascii="宋体" w:hAnsi="宋体" w:eastAsia="宋体"/>
                <w:spacing w:val="-6"/>
                <w:sz w:val="21"/>
                <w:szCs w:val="21"/>
                <w:lang w:eastAsia="zh-CN"/>
              </w:rPr>
            </w:pPr>
            <w:r>
              <w:rPr>
                <w:rFonts w:hint="eastAsia" w:ascii="宋体" w:hAnsi="宋体"/>
                <w:spacing w:val="-6"/>
                <w:sz w:val="21"/>
                <w:szCs w:val="21"/>
                <w:lang w:val="en-US" w:eastAsia="zh-CN"/>
              </w:rPr>
              <w:t>3</w:t>
            </w:r>
          </w:p>
        </w:tc>
        <w:tc>
          <w:tcPr>
            <w:tcW w:w="6716" w:type="dxa"/>
            <w:shd w:val="clear" w:color="auto" w:fill="FFFFFF"/>
            <w:vAlign w:val="center"/>
          </w:tcPr>
          <w:p>
            <w:pPr>
              <w:spacing w:line="288" w:lineRule="auto"/>
              <w:rPr>
                <w:rFonts w:hAnsi="宋体"/>
                <w:spacing w:val="-6"/>
                <w:sz w:val="21"/>
                <w:szCs w:val="21"/>
              </w:rPr>
            </w:pPr>
            <w:r>
              <w:rPr>
                <w:rFonts w:hint="eastAsia" w:ascii="宋体" w:hAnsi="宋体"/>
                <w:spacing w:val="-6"/>
                <w:sz w:val="21"/>
                <w:szCs w:val="21"/>
              </w:rPr>
              <w:t>投标人自2016年1月1日以来（以合同签订时间为准）同类项目业绩（以提供的合同复印件为准）：每提供1份得1分</w:t>
            </w:r>
            <w:r>
              <w:rPr>
                <w:rFonts w:ascii="宋体" w:hAnsi="宋体"/>
                <w:spacing w:val="-6"/>
                <w:sz w:val="21"/>
                <w:szCs w:val="21"/>
              </w:rPr>
              <w:t>，最高得</w:t>
            </w:r>
            <w:r>
              <w:rPr>
                <w:rFonts w:hint="eastAsia" w:ascii="宋体" w:hAnsi="宋体"/>
                <w:spacing w:val="-6"/>
                <w:sz w:val="21"/>
                <w:szCs w:val="21"/>
                <w:lang w:val="en-US" w:eastAsia="zh-CN"/>
              </w:rPr>
              <w:t>3</w:t>
            </w:r>
            <w:r>
              <w:rPr>
                <w:rFonts w:hint="eastAsia" w:ascii="宋体" w:hAnsi="宋体"/>
                <w:spacing w:val="-6"/>
                <w:sz w:val="21"/>
                <w:szCs w:val="21"/>
              </w:rPr>
              <w:t>分</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021"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投标文件制作</w:t>
            </w:r>
          </w:p>
        </w:tc>
        <w:tc>
          <w:tcPr>
            <w:tcW w:w="703"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2</w:t>
            </w:r>
          </w:p>
        </w:tc>
        <w:tc>
          <w:tcPr>
            <w:tcW w:w="6716" w:type="dxa"/>
            <w:shd w:val="clear" w:color="auto" w:fill="FFFFFF"/>
            <w:vAlign w:val="center"/>
          </w:tcPr>
          <w:p>
            <w:pPr>
              <w:spacing w:line="288" w:lineRule="auto"/>
              <w:rPr>
                <w:rFonts w:hAnsi="宋体"/>
                <w:spacing w:val="-6"/>
                <w:sz w:val="21"/>
                <w:szCs w:val="21"/>
              </w:rPr>
            </w:pPr>
            <w:r>
              <w:rPr>
                <w:rFonts w:hint="eastAsia" w:ascii="宋体" w:hAnsi="宋体"/>
                <w:spacing w:val="-6"/>
                <w:sz w:val="21"/>
                <w:szCs w:val="21"/>
              </w:rPr>
              <w:t>从装订、目录、响应招标文件要求提供相关资料，表格等方面横向</w:t>
            </w:r>
            <w:r>
              <w:rPr>
                <w:rFonts w:ascii="宋体" w:hAnsi="宋体"/>
                <w:spacing w:val="-6"/>
                <w:sz w:val="21"/>
                <w:szCs w:val="21"/>
              </w:rPr>
              <w:t>比较</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9440" w:type="dxa"/>
            <w:gridSpan w:val="3"/>
            <w:vAlign w:val="center"/>
          </w:tcPr>
          <w:p>
            <w:pPr>
              <w:pStyle w:val="11"/>
              <w:spacing w:line="288" w:lineRule="auto"/>
              <w:ind w:firstLine="0"/>
              <w:jc w:val="center"/>
              <w:rPr>
                <w:rFonts w:hAnsi="宋体"/>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2021"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投标方案的</w:t>
            </w:r>
            <w:r>
              <w:rPr>
                <w:rFonts w:hint="eastAsia" w:ascii="宋体" w:hAnsi="宋体"/>
                <w:bCs/>
                <w:spacing w:val="-6"/>
                <w:sz w:val="21"/>
                <w:szCs w:val="21"/>
              </w:rPr>
              <w:t>科学性和完整性</w:t>
            </w:r>
          </w:p>
        </w:tc>
        <w:tc>
          <w:tcPr>
            <w:tcW w:w="703"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1</w:t>
            </w:r>
            <w:r>
              <w:rPr>
                <w:rFonts w:hint="eastAsia" w:ascii="宋体" w:hAnsi="宋体"/>
                <w:spacing w:val="-6"/>
                <w:sz w:val="21"/>
                <w:szCs w:val="21"/>
                <w:lang w:val="en-US" w:eastAsia="zh-CN"/>
              </w:rPr>
              <w:t>2</w:t>
            </w:r>
          </w:p>
        </w:tc>
        <w:tc>
          <w:tcPr>
            <w:tcW w:w="6716" w:type="dxa"/>
            <w:shd w:val="clear" w:color="auto" w:fill="FFFFFF"/>
            <w:vAlign w:val="center"/>
          </w:tcPr>
          <w:p>
            <w:pPr>
              <w:spacing w:line="288" w:lineRule="auto"/>
              <w:rPr>
                <w:rFonts w:ascii="宋体" w:hAnsi="宋体"/>
                <w:spacing w:val="-6"/>
                <w:sz w:val="21"/>
                <w:szCs w:val="21"/>
              </w:rPr>
            </w:pPr>
            <w:r>
              <w:rPr>
                <w:rFonts w:hint="eastAsia" w:ascii="宋体" w:hAnsi="宋体"/>
                <w:spacing w:val="-6"/>
                <w:sz w:val="21"/>
                <w:szCs w:val="21"/>
              </w:rPr>
              <w:t>根据</w:t>
            </w:r>
            <w:r>
              <w:rPr>
                <w:rFonts w:ascii="宋体" w:hAnsi="宋体"/>
                <w:spacing w:val="-6"/>
                <w:sz w:val="21"/>
                <w:szCs w:val="21"/>
              </w:rPr>
              <w:t>投标人</w:t>
            </w:r>
            <w:r>
              <w:rPr>
                <w:rFonts w:hint="eastAsia" w:ascii="宋体" w:hAnsi="宋体"/>
                <w:spacing w:val="-6"/>
                <w:sz w:val="21"/>
                <w:szCs w:val="21"/>
              </w:rPr>
              <w:t>投标方案与招标需求的吻合程度（包括方案的科学性、先进性、可行性和扩展性），方案是否科学合理、安全严密、具有一定的前瞻性，是否有独到的优势，是否符合国家相关标准，技术路线与系统架构设计优劣，是否具有良好的安全性、扩展性等</w:t>
            </w:r>
            <w:r>
              <w:rPr>
                <w:rFonts w:ascii="宋体" w:hAnsi="宋体"/>
                <w:spacing w:val="-6"/>
                <w:sz w:val="21"/>
                <w:szCs w:val="21"/>
              </w:rPr>
              <w:t>横向比较，优</w:t>
            </w:r>
            <w:r>
              <w:rPr>
                <w:rFonts w:hint="eastAsia" w:ascii="宋体" w:hAnsi="宋体"/>
                <w:spacing w:val="-6"/>
                <w:sz w:val="21"/>
                <w:szCs w:val="21"/>
              </w:rPr>
              <w:t>的</w:t>
            </w:r>
            <w:r>
              <w:rPr>
                <w:rFonts w:ascii="宋体" w:hAnsi="宋体"/>
                <w:spacing w:val="-6"/>
                <w:sz w:val="21"/>
                <w:szCs w:val="21"/>
              </w:rPr>
              <w:t>得</w:t>
            </w:r>
            <w:r>
              <w:rPr>
                <w:rFonts w:hint="eastAsia" w:ascii="宋体" w:hAnsi="宋体"/>
                <w:spacing w:val="-6"/>
                <w:sz w:val="21"/>
                <w:szCs w:val="21"/>
                <w:lang w:val="en-US" w:eastAsia="zh-CN"/>
              </w:rPr>
              <w:t>9</w:t>
            </w:r>
            <w:r>
              <w:rPr>
                <w:rFonts w:hint="eastAsia" w:ascii="宋体" w:hAnsi="宋体"/>
                <w:spacing w:val="-6"/>
                <w:sz w:val="21"/>
                <w:szCs w:val="21"/>
              </w:rPr>
              <w:t>-1</w:t>
            </w:r>
            <w:r>
              <w:rPr>
                <w:rFonts w:hint="eastAsia" w:ascii="宋体" w:hAnsi="宋体"/>
                <w:spacing w:val="-6"/>
                <w:sz w:val="21"/>
                <w:szCs w:val="21"/>
                <w:lang w:val="en-US" w:eastAsia="zh-CN"/>
              </w:rPr>
              <w:t>2</w:t>
            </w:r>
            <w:r>
              <w:rPr>
                <w:rFonts w:hint="eastAsia" w:ascii="宋体" w:hAnsi="宋体"/>
                <w:spacing w:val="-6"/>
                <w:sz w:val="21"/>
                <w:szCs w:val="21"/>
              </w:rPr>
              <w:t>分</w:t>
            </w:r>
            <w:r>
              <w:rPr>
                <w:rFonts w:ascii="宋体" w:hAnsi="宋体"/>
                <w:spacing w:val="-6"/>
                <w:sz w:val="21"/>
                <w:szCs w:val="21"/>
              </w:rPr>
              <w:t>，一般的</w:t>
            </w:r>
            <w:r>
              <w:rPr>
                <w:rFonts w:hint="eastAsia" w:ascii="宋体" w:hAnsi="宋体"/>
                <w:spacing w:val="-6"/>
                <w:sz w:val="21"/>
                <w:szCs w:val="21"/>
                <w:lang w:val="en-US" w:eastAsia="zh-CN"/>
              </w:rPr>
              <w:t>5</w:t>
            </w:r>
            <w:r>
              <w:rPr>
                <w:rFonts w:hint="eastAsia" w:ascii="宋体" w:hAnsi="宋体"/>
                <w:spacing w:val="-6"/>
                <w:sz w:val="21"/>
                <w:szCs w:val="21"/>
              </w:rPr>
              <w:t>-</w:t>
            </w:r>
            <w:r>
              <w:rPr>
                <w:rFonts w:hint="eastAsia" w:ascii="宋体" w:hAnsi="宋体"/>
                <w:spacing w:val="-6"/>
                <w:sz w:val="21"/>
                <w:szCs w:val="21"/>
                <w:lang w:val="en-US" w:eastAsia="zh-CN"/>
              </w:rPr>
              <w:t>8</w:t>
            </w:r>
            <w:r>
              <w:rPr>
                <w:rFonts w:hint="eastAsia" w:ascii="宋体" w:hAnsi="宋体"/>
                <w:spacing w:val="-6"/>
                <w:sz w:val="21"/>
                <w:szCs w:val="21"/>
              </w:rPr>
              <w:t>分</w:t>
            </w:r>
            <w:r>
              <w:rPr>
                <w:rFonts w:ascii="宋体" w:hAnsi="宋体"/>
                <w:spacing w:val="-6"/>
                <w:sz w:val="21"/>
                <w:szCs w:val="21"/>
              </w:rPr>
              <w:t>，差的得</w:t>
            </w:r>
            <w:r>
              <w:rPr>
                <w:rFonts w:hint="eastAsia" w:ascii="宋体" w:hAnsi="宋体"/>
                <w:spacing w:val="-6"/>
                <w:sz w:val="21"/>
                <w:szCs w:val="21"/>
              </w:rPr>
              <w:t>0-</w:t>
            </w:r>
            <w:r>
              <w:rPr>
                <w:rFonts w:hint="eastAsia" w:ascii="宋体" w:hAnsi="宋体"/>
                <w:spacing w:val="-6"/>
                <w:sz w:val="21"/>
                <w:szCs w:val="21"/>
                <w:lang w:val="en-US" w:eastAsia="zh-CN"/>
              </w:rPr>
              <w:t>4</w:t>
            </w:r>
            <w:r>
              <w:rPr>
                <w:rFonts w:hint="eastAsia" w:ascii="宋体" w:hAnsi="宋体"/>
                <w:spacing w:val="-6"/>
                <w:sz w:val="21"/>
                <w:szCs w:val="21"/>
              </w:rPr>
              <w:t>分</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2021"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项目</w:t>
            </w:r>
            <w:r>
              <w:rPr>
                <w:rFonts w:ascii="宋体" w:hAnsi="宋体"/>
                <w:spacing w:val="-6"/>
                <w:sz w:val="21"/>
                <w:szCs w:val="21"/>
              </w:rPr>
              <w:t>实施</w:t>
            </w:r>
            <w:r>
              <w:rPr>
                <w:rFonts w:hint="eastAsia" w:ascii="宋体" w:hAnsi="宋体"/>
                <w:spacing w:val="-6"/>
                <w:sz w:val="21"/>
                <w:szCs w:val="21"/>
              </w:rPr>
              <w:t>方案</w:t>
            </w:r>
          </w:p>
        </w:tc>
        <w:tc>
          <w:tcPr>
            <w:tcW w:w="703" w:type="dxa"/>
            <w:shd w:val="clear" w:color="auto" w:fill="FFFFFF"/>
            <w:vAlign w:val="center"/>
          </w:tcPr>
          <w:p>
            <w:pPr>
              <w:widowControl/>
              <w:spacing w:line="300" w:lineRule="auto"/>
              <w:jc w:val="center"/>
              <w:rPr>
                <w:rFonts w:hint="eastAsia" w:ascii="宋体" w:hAnsi="宋体" w:eastAsia="宋体"/>
                <w:spacing w:val="-6"/>
                <w:sz w:val="21"/>
                <w:szCs w:val="21"/>
                <w:lang w:eastAsia="zh-CN"/>
              </w:rPr>
            </w:pPr>
            <w:r>
              <w:rPr>
                <w:rFonts w:hint="eastAsia" w:ascii="宋体" w:hAnsi="宋体"/>
                <w:spacing w:val="-6"/>
                <w:sz w:val="21"/>
                <w:szCs w:val="21"/>
                <w:lang w:val="en-US" w:eastAsia="zh-CN"/>
              </w:rPr>
              <w:t>5</w:t>
            </w:r>
          </w:p>
        </w:tc>
        <w:tc>
          <w:tcPr>
            <w:tcW w:w="6716" w:type="dxa"/>
            <w:shd w:val="clear" w:color="auto" w:fill="FFFFFF"/>
            <w:vAlign w:val="center"/>
          </w:tcPr>
          <w:p>
            <w:pPr>
              <w:widowControl/>
              <w:spacing w:line="300" w:lineRule="auto"/>
              <w:rPr>
                <w:rFonts w:ascii="宋体" w:hAnsi="宋体"/>
                <w:sz w:val="21"/>
                <w:szCs w:val="21"/>
              </w:rPr>
            </w:pPr>
            <w:r>
              <w:rPr>
                <w:rFonts w:hint="eastAsia" w:ascii="宋体" w:hAnsi="宋体" w:cs="宋体"/>
                <w:spacing w:val="-6"/>
                <w:sz w:val="21"/>
                <w:szCs w:val="21"/>
              </w:rPr>
              <w:t>根据投标人对系统总体框架的设计、平台数据运行、应用集成、功能参数、系统的安全规划方案、关键技术解决和资源整合利用等的合理性、先进性、安全性、完整性、协同性、标准性、可靠性和可扩展性等横向比较；优的得</w:t>
            </w:r>
            <w:r>
              <w:rPr>
                <w:rFonts w:hint="eastAsia" w:ascii="宋体" w:hAnsi="宋体" w:cs="宋体"/>
                <w:spacing w:val="-6"/>
                <w:sz w:val="21"/>
                <w:szCs w:val="21"/>
                <w:lang w:val="en-US" w:eastAsia="zh-CN"/>
              </w:rPr>
              <w:t>4</w:t>
            </w:r>
            <w:r>
              <w:rPr>
                <w:rFonts w:hint="eastAsia" w:ascii="宋体" w:hAnsi="宋体" w:cs="宋体"/>
                <w:spacing w:val="-6"/>
                <w:sz w:val="21"/>
                <w:szCs w:val="21"/>
              </w:rPr>
              <w:t>-</w:t>
            </w:r>
            <w:r>
              <w:rPr>
                <w:rFonts w:hint="eastAsia" w:ascii="宋体" w:hAnsi="宋体" w:cs="宋体"/>
                <w:spacing w:val="-6"/>
                <w:sz w:val="21"/>
                <w:szCs w:val="21"/>
                <w:lang w:val="en-US" w:eastAsia="zh-CN"/>
              </w:rPr>
              <w:t>5</w:t>
            </w:r>
            <w:r>
              <w:rPr>
                <w:rFonts w:hint="eastAsia" w:ascii="宋体" w:hAnsi="宋体" w:cs="宋体"/>
                <w:spacing w:val="-6"/>
                <w:sz w:val="21"/>
                <w:szCs w:val="21"/>
              </w:rPr>
              <w:t>分，一般的得</w:t>
            </w:r>
            <w:r>
              <w:rPr>
                <w:rFonts w:hint="eastAsia" w:ascii="宋体" w:hAnsi="宋体" w:cs="宋体"/>
                <w:spacing w:val="-6"/>
                <w:sz w:val="21"/>
                <w:szCs w:val="21"/>
                <w:lang w:val="en-US" w:eastAsia="zh-CN"/>
              </w:rPr>
              <w:t>2</w:t>
            </w:r>
            <w:r>
              <w:rPr>
                <w:rFonts w:hint="eastAsia" w:ascii="宋体" w:hAnsi="宋体" w:cs="宋体"/>
                <w:spacing w:val="-6"/>
                <w:sz w:val="21"/>
                <w:szCs w:val="21"/>
              </w:rPr>
              <w:t>-</w:t>
            </w:r>
            <w:r>
              <w:rPr>
                <w:rFonts w:hint="eastAsia" w:ascii="宋体" w:hAnsi="宋体" w:cs="宋体"/>
                <w:spacing w:val="-6"/>
                <w:sz w:val="21"/>
                <w:szCs w:val="21"/>
                <w:lang w:val="en-US" w:eastAsia="zh-CN"/>
              </w:rPr>
              <w:t>3</w:t>
            </w:r>
            <w:r>
              <w:rPr>
                <w:rFonts w:hint="eastAsia" w:ascii="宋体" w:hAnsi="宋体" w:cs="宋体"/>
                <w:spacing w:val="-6"/>
                <w:sz w:val="21"/>
                <w:szCs w:val="21"/>
              </w:rPr>
              <w:t>分，差的得0-</w:t>
            </w:r>
            <w:r>
              <w:rPr>
                <w:rFonts w:hint="eastAsia" w:ascii="宋体" w:hAnsi="宋体" w:cs="宋体"/>
                <w:spacing w:val="-6"/>
                <w:sz w:val="21"/>
                <w:szCs w:val="21"/>
                <w:lang w:val="en-US" w:eastAsia="zh-CN"/>
              </w:rPr>
              <w:t>1</w:t>
            </w:r>
            <w:r>
              <w:rPr>
                <w:rFonts w:hint="eastAsia" w:ascii="宋体" w:hAnsi="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021"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项目负责人</w:t>
            </w:r>
          </w:p>
        </w:tc>
        <w:tc>
          <w:tcPr>
            <w:tcW w:w="703"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4</w:t>
            </w:r>
          </w:p>
        </w:tc>
        <w:tc>
          <w:tcPr>
            <w:tcW w:w="6716" w:type="dxa"/>
            <w:shd w:val="clear" w:color="auto" w:fill="FFFFFF"/>
            <w:vAlign w:val="center"/>
          </w:tcPr>
          <w:p>
            <w:pPr>
              <w:widowControl/>
              <w:spacing w:line="300" w:lineRule="auto"/>
              <w:rPr>
                <w:rFonts w:ascii="宋体" w:hAnsi="宋体" w:cs="宋体"/>
                <w:spacing w:val="-6"/>
                <w:sz w:val="21"/>
                <w:szCs w:val="21"/>
              </w:rPr>
            </w:pPr>
            <w:r>
              <w:rPr>
                <w:rFonts w:hint="eastAsia" w:ascii="宋体" w:hAnsi="宋体" w:cs="宋体"/>
                <w:spacing w:val="-6"/>
                <w:sz w:val="21"/>
                <w:szCs w:val="21"/>
              </w:rPr>
              <w:t>根据本项目项目负责人资质、同类项目的工作经验等情况横向比较，优的得3-4分，一般及以下的得0-2分。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21" w:type="dxa"/>
            <w:shd w:val="clear" w:color="auto" w:fill="FFFFFF"/>
            <w:vAlign w:val="center"/>
          </w:tcPr>
          <w:p>
            <w:pPr>
              <w:spacing w:line="288" w:lineRule="auto"/>
              <w:jc w:val="center"/>
              <w:rPr>
                <w:rFonts w:ascii="宋体" w:hAnsi="宋体"/>
                <w:spacing w:val="-6"/>
                <w:sz w:val="21"/>
                <w:szCs w:val="21"/>
              </w:rPr>
            </w:pPr>
            <w:r>
              <w:rPr>
                <w:rFonts w:hint="eastAsia" w:ascii="宋体" w:hAnsi="宋体"/>
                <w:color w:val="000000"/>
                <w:spacing w:val="-6"/>
                <w:sz w:val="21"/>
                <w:szCs w:val="21"/>
              </w:rPr>
              <w:t>拟投入</w:t>
            </w:r>
            <w:r>
              <w:rPr>
                <w:rFonts w:ascii="宋体" w:hAnsi="宋体"/>
                <w:color w:val="000000"/>
                <w:spacing w:val="-6"/>
                <w:sz w:val="21"/>
                <w:szCs w:val="21"/>
              </w:rPr>
              <w:t>人员</w:t>
            </w:r>
          </w:p>
        </w:tc>
        <w:tc>
          <w:tcPr>
            <w:tcW w:w="703" w:type="dxa"/>
            <w:shd w:val="clear" w:color="auto" w:fill="FFFFFF"/>
            <w:vAlign w:val="center"/>
          </w:tcPr>
          <w:p>
            <w:pPr>
              <w:spacing w:line="288" w:lineRule="auto"/>
              <w:jc w:val="center"/>
              <w:rPr>
                <w:rFonts w:ascii="宋体" w:hAnsi="宋体"/>
                <w:spacing w:val="-6"/>
                <w:sz w:val="21"/>
                <w:szCs w:val="21"/>
              </w:rPr>
            </w:pPr>
            <w:r>
              <w:rPr>
                <w:rFonts w:hint="eastAsia" w:ascii="宋体" w:hAnsi="宋体"/>
                <w:color w:val="000000"/>
                <w:spacing w:val="-6"/>
                <w:sz w:val="21"/>
                <w:szCs w:val="21"/>
              </w:rPr>
              <w:t>5</w:t>
            </w:r>
          </w:p>
        </w:tc>
        <w:tc>
          <w:tcPr>
            <w:tcW w:w="6716" w:type="dxa"/>
            <w:shd w:val="clear" w:color="auto" w:fill="FFFFFF"/>
            <w:vAlign w:val="center"/>
          </w:tcPr>
          <w:p>
            <w:pPr>
              <w:pStyle w:val="11"/>
              <w:spacing w:line="288" w:lineRule="auto"/>
              <w:ind w:firstLine="0"/>
              <w:rPr>
                <w:rFonts w:hAnsi="宋体"/>
                <w:sz w:val="21"/>
                <w:szCs w:val="21"/>
              </w:rPr>
            </w:pPr>
            <w:r>
              <w:rPr>
                <w:rFonts w:hint="eastAsia" w:hAnsi="宋体"/>
                <w:sz w:val="21"/>
                <w:szCs w:val="21"/>
              </w:rPr>
              <w:t>根据</w:t>
            </w:r>
            <w:r>
              <w:rPr>
                <w:rFonts w:hAnsi="宋体"/>
                <w:sz w:val="21"/>
                <w:szCs w:val="21"/>
              </w:rPr>
              <w:t>投标人</w:t>
            </w:r>
            <w:r>
              <w:rPr>
                <w:rFonts w:hint="eastAsia" w:hAnsi="宋体"/>
                <w:sz w:val="21"/>
                <w:szCs w:val="21"/>
              </w:rPr>
              <w:t>项目实施人员素质、技术能力、数量是否充足、配置是否合理等横向</w:t>
            </w:r>
            <w:r>
              <w:rPr>
                <w:rFonts w:hAnsi="宋体"/>
                <w:sz w:val="21"/>
                <w:szCs w:val="21"/>
              </w:rPr>
              <w:t>比较，优</w:t>
            </w:r>
            <w:r>
              <w:rPr>
                <w:rFonts w:hint="eastAsia" w:hAnsi="宋体"/>
                <w:sz w:val="21"/>
                <w:szCs w:val="21"/>
              </w:rPr>
              <w:t>的得4-5分</w:t>
            </w:r>
            <w:r>
              <w:rPr>
                <w:rFonts w:hAnsi="宋体"/>
                <w:sz w:val="21"/>
                <w:szCs w:val="21"/>
              </w:rPr>
              <w:t>，一般</w:t>
            </w:r>
            <w:r>
              <w:rPr>
                <w:rFonts w:hint="eastAsia" w:hAnsi="宋体"/>
                <w:sz w:val="21"/>
                <w:szCs w:val="21"/>
              </w:rPr>
              <w:t>及以下</w:t>
            </w:r>
            <w:r>
              <w:rPr>
                <w:rFonts w:hAnsi="宋体"/>
                <w:sz w:val="21"/>
                <w:szCs w:val="21"/>
              </w:rPr>
              <w:t>的</w:t>
            </w:r>
            <w:r>
              <w:rPr>
                <w:rFonts w:hint="eastAsia" w:hAnsi="宋体"/>
                <w:sz w:val="21"/>
                <w:szCs w:val="21"/>
              </w:rPr>
              <w:t>得0-3分</w:t>
            </w:r>
            <w:r>
              <w:rPr>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021" w:type="dxa"/>
            <w:shd w:val="clear" w:color="auto" w:fill="FFFFFF"/>
            <w:vAlign w:val="center"/>
          </w:tcPr>
          <w:p>
            <w:pPr>
              <w:spacing w:line="288" w:lineRule="auto"/>
              <w:jc w:val="center"/>
              <w:rPr>
                <w:rFonts w:ascii="宋体" w:hAnsi="宋体"/>
                <w:spacing w:val="-6"/>
                <w:sz w:val="21"/>
                <w:szCs w:val="21"/>
              </w:rPr>
            </w:pPr>
            <w:r>
              <w:rPr>
                <w:rFonts w:hint="eastAsia" w:ascii="宋体" w:hAnsi="宋体"/>
                <w:color w:val="000000"/>
                <w:spacing w:val="-6"/>
                <w:sz w:val="21"/>
                <w:szCs w:val="21"/>
              </w:rPr>
              <w:t>售后</w:t>
            </w:r>
            <w:r>
              <w:rPr>
                <w:rFonts w:ascii="宋体" w:hAnsi="宋体"/>
                <w:color w:val="000000"/>
                <w:spacing w:val="-6"/>
                <w:sz w:val="21"/>
                <w:szCs w:val="21"/>
              </w:rPr>
              <w:t>服务</w:t>
            </w:r>
          </w:p>
        </w:tc>
        <w:tc>
          <w:tcPr>
            <w:tcW w:w="703" w:type="dxa"/>
            <w:shd w:val="clear" w:color="auto" w:fill="FFFFFF"/>
            <w:vAlign w:val="center"/>
          </w:tcPr>
          <w:p>
            <w:pPr>
              <w:spacing w:line="288" w:lineRule="auto"/>
              <w:jc w:val="center"/>
              <w:rPr>
                <w:rFonts w:ascii="宋体" w:hAnsi="宋体"/>
                <w:spacing w:val="-6"/>
                <w:sz w:val="21"/>
                <w:szCs w:val="21"/>
              </w:rPr>
            </w:pPr>
            <w:r>
              <w:rPr>
                <w:rFonts w:hint="eastAsia" w:ascii="宋体" w:hAnsi="宋体"/>
                <w:color w:val="000000"/>
                <w:spacing w:val="-6"/>
                <w:sz w:val="21"/>
                <w:szCs w:val="21"/>
              </w:rPr>
              <w:t>4</w:t>
            </w:r>
          </w:p>
        </w:tc>
        <w:tc>
          <w:tcPr>
            <w:tcW w:w="6716" w:type="dxa"/>
            <w:shd w:val="clear" w:color="auto" w:fill="FFFFFF"/>
            <w:vAlign w:val="center"/>
          </w:tcPr>
          <w:p>
            <w:pPr>
              <w:pStyle w:val="11"/>
              <w:spacing w:line="288" w:lineRule="auto"/>
              <w:ind w:firstLine="0"/>
              <w:rPr>
                <w:rFonts w:hAnsi="宋体"/>
                <w:sz w:val="21"/>
                <w:szCs w:val="21"/>
              </w:rPr>
            </w:pPr>
            <w:r>
              <w:rPr>
                <w:rFonts w:hint="eastAsia" w:hAnsi="宋体"/>
                <w:sz w:val="21"/>
                <w:szCs w:val="21"/>
              </w:rPr>
              <w:t>售后服务体系是否完善，承诺服务内容是否优越，免费</w:t>
            </w:r>
            <w:r>
              <w:rPr>
                <w:rFonts w:hAnsi="宋体"/>
                <w:sz w:val="21"/>
                <w:szCs w:val="21"/>
              </w:rPr>
              <w:t>维护期</w:t>
            </w:r>
            <w:r>
              <w:rPr>
                <w:rFonts w:hint="eastAsia" w:hAnsi="宋体"/>
                <w:sz w:val="21"/>
                <w:szCs w:val="21"/>
              </w:rPr>
              <w:t>外维保内容和报价优惠程度</w:t>
            </w:r>
            <w:r>
              <w:rPr>
                <w:rFonts w:hAnsi="宋体"/>
                <w:sz w:val="21"/>
                <w:szCs w:val="21"/>
              </w:rPr>
              <w:t>等</w:t>
            </w:r>
            <w:r>
              <w:rPr>
                <w:rFonts w:hint="eastAsia" w:hAnsi="宋体"/>
                <w:sz w:val="21"/>
                <w:szCs w:val="21"/>
              </w:rPr>
              <w:t>横向</w:t>
            </w:r>
            <w:r>
              <w:rPr>
                <w:rFonts w:hAnsi="宋体"/>
                <w:sz w:val="21"/>
                <w:szCs w:val="21"/>
              </w:rPr>
              <w:t>比较，优</w:t>
            </w:r>
            <w:r>
              <w:rPr>
                <w:rFonts w:hint="eastAsia" w:hAnsi="宋体"/>
                <w:sz w:val="21"/>
                <w:szCs w:val="21"/>
              </w:rPr>
              <w:t>的</w:t>
            </w:r>
            <w:r>
              <w:rPr>
                <w:rFonts w:hAnsi="宋体"/>
                <w:sz w:val="21"/>
                <w:szCs w:val="21"/>
              </w:rPr>
              <w:t>得</w:t>
            </w:r>
            <w:r>
              <w:rPr>
                <w:rFonts w:hint="eastAsia" w:hAnsi="宋体"/>
                <w:sz w:val="21"/>
                <w:szCs w:val="21"/>
              </w:rPr>
              <w:t>3-4分</w:t>
            </w:r>
            <w:r>
              <w:rPr>
                <w:rFonts w:hAnsi="宋体"/>
                <w:sz w:val="21"/>
                <w:szCs w:val="21"/>
              </w:rPr>
              <w:t>，一般及以下的得</w:t>
            </w:r>
            <w:r>
              <w:rPr>
                <w:rFonts w:hint="eastAsia" w:hAnsi="宋体"/>
                <w:sz w:val="21"/>
                <w:szCs w:val="21"/>
              </w:rPr>
              <w:t>0-2分</w:t>
            </w:r>
            <w:r>
              <w:rPr>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21" w:type="dxa"/>
            <w:shd w:val="clear" w:color="auto" w:fill="FFFFFF"/>
            <w:vAlign w:val="center"/>
          </w:tcPr>
          <w:p>
            <w:pPr>
              <w:spacing w:line="288" w:lineRule="auto"/>
              <w:jc w:val="center"/>
              <w:rPr>
                <w:rFonts w:ascii="宋体" w:hAnsi="宋体"/>
                <w:color w:val="000000"/>
                <w:spacing w:val="-6"/>
                <w:sz w:val="21"/>
                <w:szCs w:val="21"/>
              </w:rPr>
            </w:pPr>
            <w:r>
              <w:rPr>
                <w:rFonts w:hint="eastAsia" w:ascii="宋体" w:hAnsi="宋体"/>
                <w:sz w:val="21"/>
                <w:szCs w:val="21"/>
              </w:rPr>
              <w:t>技术服务培训</w:t>
            </w:r>
          </w:p>
        </w:tc>
        <w:tc>
          <w:tcPr>
            <w:tcW w:w="703" w:type="dxa"/>
            <w:shd w:val="clear" w:color="auto" w:fill="FFFFFF"/>
            <w:vAlign w:val="center"/>
          </w:tcPr>
          <w:p>
            <w:pPr>
              <w:spacing w:line="288" w:lineRule="auto"/>
              <w:jc w:val="center"/>
              <w:rPr>
                <w:rFonts w:ascii="宋体" w:hAnsi="宋体"/>
                <w:color w:val="000000"/>
                <w:spacing w:val="-6"/>
                <w:sz w:val="21"/>
                <w:szCs w:val="21"/>
              </w:rPr>
            </w:pPr>
            <w:r>
              <w:rPr>
                <w:rFonts w:hint="eastAsia" w:ascii="宋体" w:hAnsi="宋体"/>
                <w:spacing w:val="-6"/>
                <w:sz w:val="21"/>
                <w:szCs w:val="21"/>
              </w:rPr>
              <w:t>4</w:t>
            </w:r>
          </w:p>
        </w:tc>
        <w:tc>
          <w:tcPr>
            <w:tcW w:w="6716" w:type="dxa"/>
            <w:shd w:val="clear" w:color="auto" w:fill="FFFFFF"/>
            <w:vAlign w:val="center"/>
          </w:tcPr>
          <w:p>
            <w:pPr>
              <w:spacing w:line="288" w:lineRule="auto"/>
              <w:rPr>
                <w:rFonts w:hAnsi="宋体"/>
                <w:sz w:val="21"/>
                <w:szCs w:val="21"/>
              </w:rPr>
            </w:pPr>
            <w:r>
              <w:rPr>
                <w:rFonts w:hint="eastAsia" w:ascii="宋体" w:hAnsi="宋体"/>
                <w:sz w:val="21"/>
                <w:szCs w:val="21"/>
              </w:rPr>
              <w:t>专业服务力量和服务保障，培训计划内容合理、详细，培训范围广，可实施有针对性，优的得3-4分，一般及以下的得0-2分。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021"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现场演示</w:t>
            </w:r>
          </w:p>
        </w:tc>
        <w:tc>
          <w:tcPr>
            <w:tcW w:w="703" w:type="dxa"/>
            <w:shd w:val="clear" w:color="auto" w:fill="FFFFFF"/>
            <w:vAlign w:val="center"/>
          </w:tcPr>
          <w:p>
            <w:pPr>
              <w:widowControl/>
              <w:spacing w:line="300" w:lineRule="auto"/>
              <w:jc w:val="center"/>
              <w:rPr>
                <w:rFonts w:hint="eastAsia" w:ascii="宋体" w:hAnsi="宋体" w:eastAsia="宋体"/>
                <w:spacing w:val="-6"/>
                <w:sz w:val="21"/>
                <w:szCs w:val="21"/>
                <w:lang w:eastAsia="zh-CN"/>
              </w:rPr>
            </w:pPr>
            <w:r>
              <w:rPr>
                <w:rFonts w:hint="eastAsia" w:ascii="宋体" w:hAnsi="宋体"/>
                <w:spacing w:val="-6"/>
                <w:sz w:val="21"/>
                <w:szCs w:val="21"/>
                <w:lang w:val="en-US" w:eastAsia="zh-CN"/>
              </w:rPr>
              <w:t>25</w:t>
            </w:r>
          </w:p>
        </w:tc>
        <w:tc>
          <w:tcPr>
            <w:tcW w:w="6716" w:type="dxa"/>
            <w:shd w:val="clear" w:color="auto" w:fill="FFFFFF"/>
            <w:vAlign w:val="center"/>
          </w:tcPr>
          <w:p>
            <w:pPr>
              <w:widowControl/>
              <w:spacing w:line="300" w:lineRule="auto"/>
              <w:rPr>
                <w:rFonts w:ascii="宋体" w:hAnsi="宋体"/>
                <w:sz w:val="21"/>
                <w:szCs w:val="21"/>
              </w:rPr>
            </w:pPr>
            <w:r>
              <w:rPr>
                <w:rFonts w:hint="eastAsia" w:ascii="宋体" w:hAnsi="宋体"/>
                <w:spacing w:val="-6"/>
                <w:sz w:val="21"/>
                <w:szCs w:val="21"/>
              </w:rPr>
              <w:t>根据投标人现场演示情况酌情比较打分，优的得1</w:t>
            </w:r>
            <w:r>
              <w:rPr>
                <w:rFonts w:hint="eastAsia" w:ascii="宋体" w:hAnsi="宋体"/>
                <w:spacing w:val="-6"/>
                <w:sz w:val="21"/>
                <w:szCs w:val="21"/>
                <w:lang w:val="en-US" w:eastAsia="zh-CN"/>
              </w:rPr>
              <w:t>8</w:t>
            </w:r>
            <w:r>
              <w:rPr>
                <w:rFonts w:hint="eastAsia" w:ascii="宋体" w:hAnsi="宋体"/>
                <w:spacing w:val="-6"/>
                <w:sz w:val="21"/>
                <w:szCs w:val="21"/>
              </w:rPr>
              <w:t>-</w:t>
            </w:r>
            <w:r>
              <w:rPr>
                <w:rFonts w:hint="eastAsia" w:ascii="宋体" w:hAnsi="宋体"/>
                <w:spacing w:val="-6"/>
                <w:sz w:val="21"/>
                <w:szCs w:val="21"/>
                <w:lang w:val="en-US" w:eastAsia="zh-CN"/>
              </w:rPr>
              <w:t>2</w:t>
            </w:r>
            <w:r>
              <w:rPr>
                <w:rFonts w:hint="eastAsia" w:ascii="宋体" w:hAnsi="宋体"/>
                <w:spacing w:val="-6"/>
                <w:sz w:val="21"/>
                <w:szCs w:val="21"/>
              </w:rPr>
              <w:t>5分，一般的</w:t>
            </w:r>
            <w:r>
              <w:rPr>
                <w:rFonts w:hint="eastAsia" w:ascii="宋体" w:hAnsi="宋体"/>
                <w:spacing w:val="-6"/>
                <w:sz w:val="21"/>
                <w:szCs w:val="21"/>
                <w:lang w:val="en-US" w:eastAsia="zh-CN"/>
              </w:rPr>
              <w:t>8</w:t>
            </w:r>
            <w:r>
              <w:rPr>
                <w:rFonts w:hint="eastAsia" w:ascii="宋体" w:hAnsi="宋体"/>
                <w:spacing w:val="-6"/>
                <w:sz w:val="21"/>
                <w:szCs w:val="21"/>
              </w:rPr>
              <w:t>-1</w:t>
            </w:r>
            <w:r>
              <w:rPr>
                <w:rFonts w:hint="eastAsia" w:ascii="宋体" w:hAnsi="宋体"/>
                <w:spacing w:val="-6"/>
                <w:sz w:val="21"/>
                <w:szCs w:val="21"/>
                <w:lang w:val="en-US" w:eastAsia="zh-CN"/>
              </w:rPr>
              <w:t>7</w:t>
            </w:r>
            <w:r>
              <w:rPr>
                <w:rFonts w:hint="eastAsia" w:ascii="宋体" w:hAnsi="宋体"/>
                <w:spacing w:val="-6"/>
                <w:sz w:val="21"/>
                <w:szCs w:val="21"/>
              </w:rPr>
              <w:t>分，差的得1-</w:t>
            </w:r>
            <w:r>
              <w:rPr>
                <w:rFonts w:hint="eastAsia" w:ascii="宋体" w:hAnsi="宋体"/>
                <w:spacing w:val="-6"/>
                <w:sz w:val="21"/>
                <w:szCs w:val="21"/>
                <w:lang w:val="en-US" w:eastAsia="zh-CN"/>
              </w:rPr>
              <w:t>7</w:t>
            </w:r>
            <w:r>
              <w:rPr>
                <w:rFonts w:hint="eastAsia" w:ascii="宋体" w:hAnsi="宋体"/>
                <w:spacing w:val="-6"/>
                <w:sz w:val="21"/>
                <w:szCs w:val="21"/>
              </w:rPr>
              <w:t>分，如未进行现场演示的其现场演示分为零分。</w:t>
            </w:r>
            <w:bookmarkStart w:id="11" w:name="_GoBack"/>
            <w:bookmarkEnd w:id="11"/>
          </w:p>
        </w:tc>
      </w:tr>
    </w:tbl>
    <w:p>
      <w:pPr>
        <w:spacing w:line="360"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360" w:lineRule="auto"/>
        <w:jc w:val="left"/>
        <w:rPr>
          <w:rFonts w:ascii="宋体" w:hAnsi="宋体"/>
          <w:b/>
          <w:sz w:val="21"/>
          <w:szCs w:val="21"/>
        </w:rPr>
      </w:pPr>
      <w:r>
        <w:rPr>
          <w:rFonts w:hint="eastAsia" w:ascii="宋体" w:hAnsi="宋体"/>
          <w:b/>
          <w:sz w:val="21"/>
          <w:szCs w:val="21"/>
        </w:rPr>
        <w:t>根据《政府采购促进中小企业发展暂行办法》（财库[2011]181号）的规定，投标人如为小型或微型企业并提交相关证明材料且所投产品为小型或微型企业制造的，</w:t>
      </w:r>
      <w:r>
        <w:rPr>
          <w:rFonts w:ascii="宋体" w:hAnsi="宋体"/>
          <w:b/>
          <w:sz w:val="21"/>
          <w:szCs w:val="21"/>
        </w:rPr>
        <w:t>其小型或微型企业</w:t>
      </w:r>
      <w:r>
        <w:rPr>
          <w:rFonts w:hint="eastAsia" w:ascii="宋体" w:hAnsi="宋体"/>
          <w:b/>
          <w:sz w:val="21"/>
          <w:szCs w:val="21"/>
        </w:rPr>
        <w:t>部分</w:t>
      </w:r>
      <w:r>
        <w:rPr>
          <w:rFonts w:ascii="宋体" w:hAnsi="宋体"/>
          <w:b/>
          <w:sz w:val="21"/>
          <w:szCs w:val="21"/>
        </w:rPr>
        <w:t>的投标</w:t>
      </w:r>
      <w:r>
        <w:rPr>
          <w:rFonts w:hint="eastAsia" w:ascii="宋体" w:hAnsi="宋体"/>
          <w:b/>
          <w:sz w:val="21"/>
          <w:szCs w:val="21"/>
        </w:rPr>
        <w:t>报价扣除 6%后参与评审。</w:t>
      </w:r>
    </w:p>
    <w:p>
      <w:pPr>
        <w:spacing w:line="288" w:lineRule="auto"/>
        <w:jc w:val="left"/>
        <w:rPr>
          <w:rFonts w:ascii="宋体" w:hAnsi="宋体"/>
          <w:b/>
          <w:sz w:val="21"/>
          <w:szCs w:val="21"/>
        </w:rPr>
      </w:pPr>
      <w:r>
        <w:rPr>
          <w:rFonts w:hint="eastAsia" w:ascii="宋体" w:hAnsi="宋体"/>
          <w:b/>
          <w:sz w:val="21"/>
          <w:szCs w:val="21"/>
        </w:rPr>
        <w:t>根据《</w:t>
      </w:r>
      <w:r>
        <w:rPr>
          <w:rFonts w:ascii="宋体" w:hAnsi="宋体"/>
          <w:b/>
          <w:sz w:val="21"/>
          <w:szCs w:val="21"/>
        </w:rPr>
        <w:t>关于政府采购支持监狱企业发展有关问题的通知</w:t>
      </w:r>
      <w:r>
        <w:rPr>
          <w:rFonts w:hint="eastAsia" w:ascii="宋体" w:hAnsi="宋体"/>
          <w:b/>
          <w:sz w:val="21"/>
          <w:szCs w:val="21"/>
        </w:rPr>
        <w:t>》（</w:t>
      </w:r>
      <w:r>
        <w:rPr>
          <w:rFonts w:ascii="宋体" w:hAnsi="宋体"/>
          <w:b/>
          <w:sz w:val="21"/>
          <w:szCs w:val="21"/>
        </w:rPr>
        <w:t>财库[2014]68号</w:t>
      </w:r>
      <w:r>
        <w:rPr>
          <w:rFonts w:hint="eastAsia" w:ascii="宋体" w:hAnsi="宋体"/>
          <w:b/>
          <w:sz w:val="21"/>
          <w:szCs w:val="21"/>
        </w:rPr>
        <w:t>）的规定，投标人如为监狱企业并提交相关证明材料且所投产品为小型或微型企业制造的，</w:t>
      </w:r>
      <w:r>
        <w:rPr>
          <w:rFonts w:ascii="宋体" w:hAnsi="宋体"/>
          <w:b/>
          <w:sz w:val="21"/>
          <w:szCs w:val="21"/>
        </w:rPr>
        <w:t>其小型或微型企业</w:t>
      </w:r>
      <w:r>
        <w:rPr>
          <w:rFonts w:hint="eastAsia" w:ascii="宋体" w:hAnsi="宋体"/>
          <w:b/>
          <w:sz w:val="21"/>
          <w:szCs w:val="21"/>
        </w:rPr>
        <w:t>部分</w:t>
      </w:r>
      <w:r>
        <w:rPr>
          <w:rFonts w:ascii="宋体" w:hAnsi="宋体"/>
          <w:b/>
          <w:sz w:val="21"/>
          <w:szCs w:val="21"/>
        </w:rPr>
        <w:t>的投标</w:t>
      </w:r>
      <w:r>
        <w:rPr>
          <w:rFonts w:hint="eastAsia" w:ascii="宋体" w:hAnsi="宋体"/>
          <w:b/>
          <w:sz w:val="21"/>
          <w:szCs w:val="21"/>
        </w:rPr>
        <w:t>报价扣除 6%后参与评审。</w:t>
      </w:r>
    </w:p>
    <w:p>
      <w:pPr>
        <w:spacing w:line="288" w:lineRule="auto"/>
        <w:rPr>
          <w:rFonts w:ascii="宋体" w:hAnsi="宋体"/>
          <w:b/>
          <w:sz w:val="21"/>
          <w:szCs w:val="21"/>
        </w:rPr>
      </w:pPr>
      <w:r>
        <w:rPr>
          <w:rFonts w:ascii="宋体" w:hAnsi="宋体"/>
          <w:b/>
          <w:sz w:val="21"/>
          <w:szCs w:val="21"/>
        </w:rPr>
        <w:br w:type="page"/>
      </w:r>
    </w:p>
    <w:p>
      <w:pPr>
        <w:spacing w:line="288" w:lineRule="auto"/>
        <w:jc w:val="center"/>
        <w:rPr>
          <w:rFonts w:ascii="宋体" w:hAnsi="宋体"/>
          <w:b/>
          <w:bCs/>
          <w:spacing w:val="-6"/>
          <w:sz w:val="32"/>
          <w:szCs w:val="32"/>
        </w:rPr>
      </w:pPr>
      <w:r>
        <w:rPr>
          <w:rFonts w:hint="eastAsia" w:ascii="宋体" w:hAnsi="宋体"/>
          <w:b/>
          <w:bCs/>
          <w:spacing w:val="-6"/>
          <w:sz w:val="32"/>
          <w:szCs w:val="32"/>
        </w:rPr>
        <w:t>第五章  合同主要条款</w:t>
      </w:r>
    </w:p>
    <w:p>
      <w:pPr>
        <w:spacing w:line="288" w:lineRule="auto"/>
        <w:jc w:val="center"/>
        <w:rPr>
          <w:rFonts w:ascii="宋体" w:hAnsi="宋体"/>
          <w:b/>
          <w:spacing w:val="-6"/>
          <w:sz w:val="24"/>
        </w:rPr>
      </w:pPr>
      <w:r>
        <w:rPr>
          <w:rFonts w:hint="eastAsia" w:ascii="宋体" w:hAnsi="宋体"/>
          <w:b/>
          <w:spacing w:val="-6"/>
          <w:sz w:val="24"/>
        </w:rPr>
        <w:t>采购合同（</w:t>
      </w:r>
      <w:r>
        <w:rPr>
          <w:rFonts w:ascii="宋体" w:hAnsi="宋体"/>
          <w:b/>
          <w:spacing w:val="-6"/>
          <w:sz w:val="24"/>
        </w:rPr>
        <w:t>国产</w:t>
      </w:r>
      <w:r>
        <w:rPr>
          <w:rFonts w:hint="eastAsia" w:ascii="宋体" w:hAnsi="宋体"/>
          <w:b/>
          <w:spacing w:val="-6"/>
          <w:sz w:val="24"/>
        </w:rPr>
        <w:t>设备</w:t>
      </w:r>
      <w:r>
        <w:rPr>
          <w:rFonts w:ascii="宋体" w:hAnsi="宋体"/>
          <w:b/>
          <w:spacing w:val="-6"/>
          <w:sz w:val="24"/>
        </w:rPr>
        <w:t>）</w:t>
      </w:r>
    </w:p>
    <w:p>
      <w:pPr>
        <w:pStyle w:val="13"/>
        <w:snapToGrid w:val="0"/>
        <w:spacing w:beforeLines="0" w:afterLines="0" w:line="288" w:lineRule="auto"/>
        <w:jc w:val="center"/>
        <w:rPr>
          <w:rFonts w:hAnsi="宋体"/>
          <w:b/>
          <w:spacing w:val="-6"/>
          <w:sz w:val="21"/>
        </w:rPr>
      </w:pPr>
      <w:r>
        <w:rPr>
          <w:rFonts w:hAnsi="宋体"/>
          <w:spacing w:val="-6"/>
          <w:sz w:val="21"/>
        </w:rPr>
        <w:t>（本合同为合同样稿，最终稿由</w:t>
      </w:r>
      <w:r>
        <w:rPr>
          <w:rFonts w:hint="eastAsia" w:hAnsi="宋体"/>
          <w:spacing w:val="-6"/>
          <w:sz w:val="21"/>
        </w:rPr>
        <w:t>三</w:t>
      </w:r>
      <w:r>
        <w:rPr>
          <w:rFonts w:hAnsi="宋体"/>
          <w:spacing w:val="-6"/>
          <w:sz w:val="21"/>
        </w:rPr>
        <w:t>方协商后确定）</w:t>
      </w:r>
    </w:p>
    <w:p>
      <w:pPr>
        <w:spacing w:line="288" w:lineRule="auto"/>
        <w:rPr>
          <w:rFonts w:ascii="宋体" w:hAnsi="宋体"/>
          <w:spacing w:val="-6"/>
          <w:sz w:val="21"/>
          <w:szCs w:val="21"/>
        </w:rPr>
      </w:pPr>
      <w:r>
        <w:rPr>
          <w:rFonts w:hint="eastAsia" w:ascii="宋体" w:hAnsi="宋体"/>
          <w:spacing w:val="-6"/>
          <w:sz w:val="21"/>
          <w:szCs w:val="21"/>
        </w:rPr>
        <w:t>采购编号：</w:t>
      </w:r>
    </w:p>
    <w:p>
      <w:pPr>
        <w:spacing w:line="288" w:lineRule="auto"/>
        <w:rPr>
          <w:rFonts w:ascii="宋体" w:hAnsi="宋体"/>
          <w:spacing w:val="-6"/>
          <w:sz w:val="21"/>
          <w:szCs w:val="21"/>
        </w:rPr>
      </w:pPr>
      <w:r>
        <w:rPr>
          <w:rFonts w:hint="eastAsia" w:ascii="宋体" w:hAnsi="宋体"/>
          <w:spacing w:val="-6"/>
          <w:sz w:val="21"/>
          <w:szCs w:val="21"/>
        </w:rPr>
        <w:t>确认书编号：</w:t>
      </w:r>
    </w:p>
    <w:p>
      <w:pPr>
        <w:spacing w:line="288" w:lineRule="auto"/>
        <w:rPr>
          <w:rFonts w:ascii="宋体" w:hAnsi="宋体"/>
          <w:spacing w:val="-6"/>
          <w:sz w:val="21"/>
          <w:szCs w:val="21"/>
        </w:rPr>
      </w:pPr>
      <w:r>
        <w:rPr>
          <w:rFonts w:hint="eastAsia" w:ascii="宋体" w:hAnsi="宋体"/>
          <w:spacing w:val="-6"/>
          <w:sz w:val="21"/>
          <w:szCs w:val="21"/>
        </w:rPr>
        <w:t>甲方（需方）：</w:t>
      </w:r>
    </w:p>
    <w:p>
      <w:pPr>
        <w:spacing w:line="288" w:lineRule="auto"/>
        <w:rPr>
          <w:rFonts w:ascii="宋体" w:hAnsi="宋体"/>
          <w:spacing w:val="-6"/>
          <w:sz w:val="21"/>
          <w:szCs w:val="21"/>
        </w:rPr>
      </w:pPr>
      <w:r>
        <w:rPr>
          <w:rFonts w:hint="eastAsia" w:ascii="宋体" w:hAnsi="宋体"/>
          <w:spacing w:val="-6"/>
          <w:sz w:val="21"/>
          <w:szCs w:val="21"/>
        </w:rPr>
        <w:t>乙方（供方）：</w:t>
      </w:r>
    </w:p>
    <w:p>
      <w:pPr>
        <w:spacing w:line="288" w:lineRule="auto"/>
        <w:rPr>
          <w:rFonts w:ascii="宋体" w:hAnsi="宋体"/>
          <w:spacing w:val="-6"/>
          <w:sz w:val="21"/>
          <w:szCs w:val="21"/>
        </w:rPr>
      </w:pPr>
      <w:r>
        <w:rPr>
          <w:rFonts w:hint="eastAsia" w:ascii="宋体" w:hAnsi="宋体"/>
          <w:spacing w:val="-6"/>
          <w:sz w:val="21"/>
          <w:szCs w:val="21"/>
        </w:rPr>
        <w:t>采购代理机构：杭州求是招标代理有限公司</w:t>
      </w:r>
    </w:p>
    <w:p>
      <w:pPr>
        <w:spacing w:line="288" w:lineRule="auto"/>
        <w:rPr>
          <w:rFonts w:ascii="宋体" w:hAnsi="宋体"/>
          <w:spacing w:val="-6"/>
          <w:sz w:val="21"/>
          <w:szCs w:val="21"/>
        </w:rPr>
      </w:pPr>
      <w:r>
        <w:rPr>
          <w:rFonts w:hint="eastAsia" w:ascii="宋体" w:hAnsi="宋体"/>
          <w:spacing w:val="-6"/>
          <w:sz w:val="21"/>
          <w:szCs w:val="21"/>
        </w:rPr>
        <w:t>签约时间、地点： 201</w:t>
      </w:r>
      <w:r>
        <w:rPr>
          <w:rFonts w:ascii="宋体" w:hAnsi="宋体"/>
          <w:spacing w:val="-6"/>
          <w:sz w:val="21"/>
          <w:szCs w:val="21"/>
        </w:rPr>
        <w:t>7</w:t>
      </w:r>
      <w:r>
        <w:rPr>
          <w:rFonts w:hint="eastAsia" w:ascii="宋体" w:hAnsi="宋体"/>
          <w:spacing w:val="-6"/>
          <w:sz w:val="21"/>
          <w:szCs w:val="21"/>
        </w:rPr>
        <w:t>年  月   日，杭州</w:t>
      </w:r>
    </w:p>
    <w:p>
      <w:pPr>
        <w:spacing w:line="288" w:lineRule="auto"/>
        <w:rPr>
          <w:rFonts w:ascii="宋体" w:hAnsi="宋体"/>
          <w:spacing w:val="-6"/>
          <w:sz w:val="21"/>
          <w:szCs w:val="21"/>
        </w:rPr>
      </w:pP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甲、乙双方根据杭州求是招标代理有限公司关于项目公开招标的结果，签署本合同。</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第一条：采购商品清单及合同价格</w:t>
      </w:r>
    </w:p>
    <w:tbl>
      <w:tblPr>
        <w:tblStyle w:val="28"/>
        <w:tblW w:w="95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771"/>
        <w:gridCol w:w="720"/>
        <w:gridCol w:w="720"/>
        <w:gridCol w:w="126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序号</w:t>
            </w:r>
          </w:p>
        </w:tc>
        <w:tc>
          <w:tcPr>
            <w:tcW w:w="180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货物名称</w:t>
            </w:r>
          </w:p>
        </w:tc>
        <w:tc>
          <w:tcPr>
            <w:tcW w:w="1771"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品牌、型号</w:t>
            </w:r>
          </w:p>
        </w:tc>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数量</w:t>
            </w:r>
          </w:p>
        </w:tc>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单位</w:t>
            </w:r>
          </w:p>
        </w:tc>
        <w:tc>
          <w:tcPr>
            <w:tcW w:w="126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单价</w:t>
            </w:r>
          </w:p>
        </w:tc>
        <w:tc>
          <w:tcPr>
            <w:tcW w:w="254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w:t>
            </w:r>
          </w:p>
        </w:tc>
        <w:tc>
          <w:tcPr>
            <w:tcW w:w="1800" w:type="dxa"/>
            <w:vAlign w:val="center"/>
          </w:tcPr>
          <w:p>
            <w:pPr>
              <w:spacing w:line="288" w:lineRule="auto"/>
              <w:ind w:left="238" w:leftChars="85"/>
              <w:jc w:val="center"/>
              <w:rPr>
                <w:rFonts w:ascii="宋体" w:hAnsi="宋体"/>
                <w:spacing w:val="-6"/>
                <w:sz w:val="21"/>
                <w:szCs w:val="21"/>
              </w:rPr>
            </w:pPr>
          </w:p>
        </w:tc>
        <w:tc>
          <w:tcPr>
            <w:tcW w:w="1771" w:type="dxa"/>
          </w:tcPr>
          <w:p>
            <w:pPr>
              <w:spacing w:line="288" w:lineRule="auto"/>
              <w:rPr>
                <w:rFonts w:ascii="宋体" w:hAnsi="宋体"/>
                <w:spacing w:val="-6"/>
                <w:sz w:val="21"/>
                <w:szCs w:val="21"/>
              </w:rPr>
            </w:pPr>
            <w:r>
              <w:rPr>
                <w:rFonts w:hint="eastAsia" w:ascii="宋体" w:hAnsi="宋体"/>
                <w:spacing w:val="-6"/>
                <w:sz w:val="21"/>
                <w:szCs w:val="21"/>
              </w:rPr>
              <w:t>（详细技术指标见配置清单）</w:t>
            </w:r>
          </w:p>
        </w:tc>
        <w:tc>
          <w:tcPr>
            <w:tcW w:w="720" w:type="dxa"/>
            <w:vAlign w:val="center"/>
          </w:tcPr>
          <w:p>
            <w:pPr>
              <w:spacing w:line="288" w:lineRule="auto"/>
              <w:jc w:val="center"/>
              <w:rPr>
                <w:rFonts w:ascii="宋体" w:hAnsi="宋体"/>
                <w:spacing w:val="-6"/>
                <w:sz w:val="21"/>
                <w:szCs w:val="21"/>
              </w:rPr>
            </w:pPr>
          </w:p>
        </w:tc>
        <w:tc>
          <w:tcPr>
            <w:tcW w:w="720" w:type="dxa"/>
            <w:vAlign w:val="center"/>
          </w:tcPr>
          <w:p>
            <w:pPr>
              <w:spacing w:line="288" w:lineRule="auto"/>
              <w:jc w:val="center"/>
              <w:rPr>
                <w:rFonts w:ascii="宋体" w:hAnsi="宋体"/>
                <w:spacing w:val="-6"/>
                <w:sz w:val="21"/>
                <w:szCs w:val="21"/>
              </w:rPr>
            </w:pPr>
          </w:p>
        </w:tc>
        <w:tc>
          <w:tcPr>
            <w:tcW w:w="1260" w:type="dxa"/>
            <w:vAlign w:val="center"/>
          </w:tcPr>
          <w:p>
            <w:pPr>
              <w:spacing w:line="288" w:lineRule="auto"/>
              <w:jc w:val="center"/>
              <w:rPr>
                <w:rFonts w:ascii="宋体" w:hAnsi="宋体"/>
                <w:spacing w:val="-6"/>
                <w:sz w:val="21"/>
                <w:szCs w:val="21"/>
              </w:rPr>
            </w:pPr>
          </w:p>
        </w:tc>
        <w:tc>
          <w:tcPr>
            <w:tcW w:w="2545" w:type="dxa"/>
            <w:vAlign w:val="center"/>
          </w:tcPr>
          <w:p>
            <w:pPr>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536" w:type="dxa"/>
            <w:gridSpan w:val="7"/>
            <w:tcBorders>
              <w:right w:val="single" w:color="auto" w:sz="4" w:space="0"/>
            </w:tcBorders>
            <w:vAlign w:val="center"/>
          </w:tcPr>
          <w:p>
            <w:pPr>
              <w:spacing w:line="288" w:lineRule="auto"/>
              <w:jc w:val="left"/>
              <w:rPr>
                <w:rFonts w:ascii="宋体" w:hAnsi="宋体"/>
                <w:spacing w:val="-6"/>
                <w:sz w:val="21"/>
                <w:szCs w:val="21"/>
              </w:rPr>
            </w:pPr>
            <w:r>
              <w:rPr>
                <w:rFonts w:hint="eastAsia" w:ascii="宋体" w:hAnsi="宋体"/>
                <w:spacing w:val="-6"/>
                <w:sz w:val="21"/>
                <w:szCs w:val="21"/>
              </w:rPr>
              <w:t>合同总价（人民币）：</w:t>
            </w:r>
          </w:p>
        </w:tc>
      </w:tr>
    </w:tbl>
    <w:p>
      <w:pPr>
        <w:spacing w:line="288" w:lineRule="auto"/>
        <w:rPr>
          <w:rFonts w:ascii="宋体" w:hAnsi="宋体"/>
          <w:spacing w:val="-6"/>
          <w:sz w:val="21"/>
          <w:szCs w:val="21"/>
        </w:rPr>
      </w:pPr>
      <w:r>
        <w:rPr>
          <w:rFonts w:hint="eastAsia" w:ascii="宋体" w:hAnsi="宋体"/>
          <w:spacing w:val="-6"/>
          <w:sz w:val="21"/>
          <w:szCs w:val="21"/>
        </w:rPr>
        <w:t>注：1.以上合同总价包括完成所有产品供货及履行所有规定服务所产生的全部费用。</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第二条：质量保证及售后服务</w:t>
      </w:r>
    </w:p>
    <w:p>
      <w:pPr>
        <w:spacing w:line="288" w:lineRule="auto"/>
        <w:ind w:firstLine="396" w:firstLineChars="200"/>
        <w:rPr>
          <w:rFonts w:ascii="宋体" w:hAnsi="宋体"/>
          <w:spacing w:val="-6"/>
          <w:sz w:val="21"/>
          <w:szCs w:val="21"/>
        </w:rPr>
      </w:pPr>
      <w:r>
        <w:rPr>
          <w:rFonts w:hint="eastAsia" w:ascii="宋体" w:hAnsi="宋体"/>
          <w:spacing w:val="-6"/>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pacing w:line="288" w:lineRule="auto"/>
        <w:ind w:firstLine="396" w:firstLineChars="200"/>
        <w:rPr>
          <w:rFonts w:ascii="宋体" w:hAnsi="宋体"/>
          <w:spacing w:val="-6"/>
          <w:sz w:val="21"/>
          <w:szCs w:val="21"/>
        </w:rPr>
      </w:pPr>
      <w:r>
        <w:rPr>
          <w:rFonts w:hint="eastAsia" w:ascii="宋体" w:hAnsi="宋体"/>
          <w:spacing w:val="-6"/>
          <w:sz w:val="21"/>
          <w:szCs w:val="21"/>
        </w:rPr>
        <w:t>2.乙方提供的货物在免费维护期内因货物本身的质量问题发生故障，乙方应负责免费更换。对达不到技术要求者，根据实际情况，经双方协商，可按以下办法处理：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spacing w:val="-6"/>
          <w:sz w:val="21"/>
          <w:szCs w:val="21"/>
        </w:rPr>
      </w:pPr>
      <w:r>
        <w:rPr>
          <w:rFonts w:hint="eastAsia" w:ascii="宋体" w:hAnsi="宋体" w:cs="宋体"/>
          <w:spacing w:val="-6"/>
          <w:sz w:val="21"/>
          <w:szCs w:val="21"/>
        </w:rPr>
        <w:t>⑴</w:t>
      </w:r>
      <w:r>
        <w:rPr>
          <w:rFonts w:hint="eastAsia" w:ascii="宋体" w:hAnsi="宋体"/>
          <w:spacing w:val="-6"/>
          <w:sz w:val="21"/>
          <w:szCs w:val="21"/>
        </w:rPr>
        <w:t>更换：由乙方承担所发生的全部费用。</w:t>
      </w:r>
    </w:p>
    <w:p>
      <w:pPr>
        <w:spacing w:line="288" w:lineRule="auto"/>
        <w:ind w:firstLine="396" w:firstLineChars="200"/>
        <w:rPr>
          <w:rFonts w:ascii="宋体" w:hAnsi="宋体"/>
          <w:spacing w:val="-6"/>
          <w:sz w:val="21"/>
          <w:szCs w:val="21"/>
        </w:rPr>
      </w:pPr>
      <w:r>
        <w:rPr>
          <w:rFonts w:hint="eastAsia" w:ascii="宋体" w:hAnsi="宋体" w:cs="宋体"/>
          <w:spacing w:val="-6"/>
          <w:sz w:val="21"/>
          <w:szCs w:val="21"/>
        </w:rPr>
        <w:t>⑵</w:t>
      </w:r>
      <w:r>
        <w:rPr>
          <w:rFonts w:hint="eastAsia" w:ascii="宋体" w:hAnsi="宋体"/>
          <w:spacing w:val="-6"/>
          <w:sz w:val="21"/>
          <w:szCs w:val="21"/>
        </w:rPr>
        <w:t>贬值处理：由甲乙双方合议定价。</w:t>
      </w:r>
    </w:p>
    <w:p>
      <w:pPr>
        <w:spacing w:line="288" w:lineRule="auto"/>
        <w:ind w:firstLine="396" w:firstLineChars="200"/>
        <w:rPr>
          <w:rFonts w:ascii="宋体" w:hAnsi="宋体"/>
          <w:spacing w:val="-6"/>
          <w:sz w:val="21"/>
          <w:szCs w:val="21"/>
        </w:rPr>
      </w:pPr>
      <w:r>
        <w:rPr>
          <w:rFonts w:hint="eastAsia" w:ascii="宋体" w:hAnsi="宋体" w:cs="宋体"/>
          <w:spacing w:val="-6"/>
          <w:sz w:val="21"/>
          <w:szCs w:val="21"/>
        </w:rPr>
        <w:t>⑶</w:t>
      </w:r>
      <w:r>
        <w:rPr>
          <w:rFonts w:hint="eastAsia" w:ascii="宋体" w:hAnsi="宋体"/>
          <w:spacing w:val="-6"/>
          <w:sz w:val="21"/>
          <w:szCs w:val="21"/>
        </w:rPr>
        <w:t>退货处理：乙方应退还甲方支付的合同款，同时应承担该货物的直接费用（运输、保险、检验、货款利息及银行手续费等）。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3.如在使用过程中发生质量问题，乙方在接到甲方通知后在小时内到达甲方现场。</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4.在免费维护期内，乙方应对货物出现的质量及安全问题负责处理解决并承担一切费用。</w:t>
      </w:r>
    </w:p>
    <w:p>
      <w:pPr>
        <w:spacing w:line="288" w:lineRule="auto"/>
        <w:ind w:firstLine="396" w:firstLineChars="200"/>
        <w:rPr>
          <w:rFonts w:ascii="宋体" w:hAnsi="宋体"/>
          <w:spacing w:val="-6"/>
          <w:sz w:val="21"/>
          <w:szCs w:val="21"/>
        </w:rPr>
      </w:pPr>
      <w:r>
        <w:rPr>
          <w:rFonts w:hint="eastAsia" w:ascii="宋体" w:hAnsi="宋体"/>
          <w:spacing w:val="-6"/>
          <w:sz w:val="21"/>
          <w:szCs w:val="21"/>
        </w:rPr>
        <w:t>5.上述的货物免费保修期为年，因人为因素出现的故障不在免费保修范围内。超过保修期的机器设备，终生维修，维修时只收部件成本费。</w:t>
      </w:r>
    </w:p>
    <w:p>
      <w:pPr>
        <w:spacing w:line="288" w:lineRule="auto"/>
        <w:ind w:firstLine="398" w:firstLineChars="200"/>
        <w:rPr>
          <w:rFonts w:ascii="宋体" w:hAnsi="宋体"/>
          <w:spacing w:val="-6"/>
          <w:sz w:val="21"/>
          <w:szCs w:val="21"/>
        </w:rPr>
      </w:pPr>
      <w:r>
        <w:rPr>
          <w:rFonts w:hAnsi="宋体"/>
          <w:b/>
          <w:spacing w:val="-6"/>
          <w:sz w:val="21"/>
          <w:szCs w:val="21"/>
        </w:rPr>
        <w:t>第三条：技术资料</w:t>
      </w:r>
    </w:p>
    <w:p>
      <w:pPr>
        <w:spacing w:line="288" w:lineRule="auto"/>
        <w:ind w:firstLine="396" w:firstLineChars="200"/>
        <w:rPr>
          <w:rFonts w:ascii="宋体" w:hAnsi="宋体"/>
          <w:spacing w:val="-6"/>
          <w:sz w:val="21"/>
          <w:szCs w:val="21"/>
        </w:rPr>
      </w:pPr>
      <w:r>
        <w:rPr>
          <w:rFonts w:hint="eastAsia" w:ascii="宋体" w:hAnsi="宋体"/>
          <w:spacing w:val="-6"/>
          <w:sz w:val="21"/>
          <w:szCs w:val="21"/>
        </w:rPr>
        <w:t>1.乙方应按招标文件规定的时间向甲方提供使用货物的有关技术资料。</w:t>
      </w:r>
    </w:p>
    <w:p>
      <w:pPr>
        <w:spacing w:line="288" w:lineRule="auto"/>
        <w:ind w:firstLine="396" w:firstLineChars="200"/>
        <w:rPr>
          <w:rFonts w:ascii="宋体" w:hAnsi="宋体"/>
          <w:spacing w:val="-6"/>
          <w:sz w:val="21"/>
          <w:szCs w:val="21"/>
        </w:rPr>
      </w:pPr>
      <w:r>
        <w:rPr>
          <w:rFonts w:hint="eastAsia" w:ascii="宋体" w:hAnsi="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398" w:firstLineChars="200"/>
        <w:rPr>
          <w:rFonts w:ascii="宋体" w:hAnsi="宋体"/>
          <w:spacing w:val="-6"/>
          <w:sz w:val="21"/>
          <w:szCs w:val="21"/>
        </w:rPr>
      </w:pPr>
      <w:r>
        <w:rPr>
          <w:rFonts w:hAnsi="宋体"/>
          <w:b/>
          <w:spacing w:val="-6"/>
          <w:sz w:val="21"/>
          <w:szCs w:val="21"/>
        </w:rPr>
        <w:t>第四条：知识产权</w:t>
      </w:r>
    </w:p>
    <w:p>
      <w:pPr>
        <w:spacing w:line="288" w:lineRule="auto"/>
        <w:ind w:firstLine="396" w:firstLineChars="200"/>
        <w:rPr>
          <w:rFonts w:ascii="宋体" w:hAnsi="宋体"/>
          <w:spacing w:val="-6"/>
          <w:sz w:val="21"/>
          <w:szCs w:val="21"/>
        </w:rPr>
      </w:pPr>
      <w:r>
        <w:rPr>
          <w:rFonts w:hint="eastAsia" w:ascii="宋体" w:hAnsi="宋体"/>
          <w:spacing w:val="-6"/>
          <w:sz w:val="21"/>
          <w:szCs w:val="21"/>
        </w:rPr>
        <w:t>乙方应保证所提供的货物或其任何一部分均不会侵犯任何第三方的知识产权</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第五条：交货时间、地点</w:t>
      </w:r>
    </w:p>
    <w:p>
      <w:pPr>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乙方应于2017年  月   日前将所供商品按时、安全运至甲方指定地点，并于一周内安装</w:t>
      </w:r>
    </w:p>
    <w:p>
      <w:pPr>
        <w:spacing w:line="288" w:lineRule="auto"/>
        <w:rPr>
          <w:rFonts w:ascii="宋体" w:hAnsi="宋体"/>
          <w:spacing w:val="-6"/>
          <w:sz w:val="21"/>
          <w:szCs w:val="21"/>
        </w:rPr>
      </w:pPr>
      <w:r>
        <w:rPr>
          <w:rFonts w:hint="eastAsia" w:ascii="宋体" w:hAnsi="宋体"/>
          <w:spacing w:val="-6"/>
          <w:sz w:val="21"/>
          <w:szCs w:val="21"/>
        </w:rPr>
        <w:t>调试完毕。</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第六条：售后服务</w:t>
      </w:r>
    </w:p>
    <w:p>
      <w:pPr>
        <w:pStyle w:val="11"/>
        <w:spacing w:line="288" w:lineRule="auto"/>
        <w:ind w:right="31" w:rightChars="11" w:firstLine="396" w:firstLineChars="200"/>
        <w:rPr>
          <w:rFonts w:hAnsi="宋体"/>
          <w:spacing w:val="-6"/>
          <w:sz w:val="21"/>
          <w:szCs w:val="21"/>
        </w:rPr>
      </w:pPr>
      <w:r>
        <w:rPr>
          <w:rFonts w:hAnsi="宋体"/>
          <w:spacing w:val="-6"/>
          <w:sz w:val="21"/>
          <w:szCs w:val="21"/>
        </w:rPr>
        <w:t>设备自验收合格后起保修年。维修响应时间：小时以内，电话技术支持；若需上门维修，则小时内到达现场并进行维修；保修期后，乙方继续为甲方服务，仅收取零配件成本费。保修内出现无法排除的故障，乙方需无条件为甲方更换同型号产品。</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第七条：调试与验收</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1.甲方对乙方提交的货物依据招标文件上的技术规格要求和国家有关质量标准进行现场初步验收，外观、说明书符合招标文件技术要求的，给予签收，初步验收不合格的不予签收。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3.甲方对乙方提供的货物在使用前进行调试时，乙方需负责安装并培训甲方的使用操作人员，并协助甲方一起调试，直到符合技术要求，甲方才做最终验收。</w:t>
      </w:r>
    </w:p>
    <w:p>
      <w:pPr>
        <w:spacing w:line="288" w:lineRule="auto"/>
        <w:ind w:firstLine="396" w:firstLineChars="200"/>
        <w:rPr>
          <w:rFonts w:ascii="宋体" w:hAnsi="宋体"/>
          <w:spacing w:val="-6"/>
          <w:sz w:val="21"/>
          <w:szCs w:val="21"/>
        </w:rPr>
      </w:pPr>
      <w:r>
        <w:rPr>
          <w:rFonts w:hint="eastAsia" w:ascii="宋体" w:hAnsi="宋体"/>
          <w:spacing w:val="-6"/>
          <w:sz w:val="21"/>
          <w:szCs w:val="21"/>
        </w:rPr>
        <w:t>4.对技术复杂的货物，甲方应请国家认可的专业检测机构参与初步验收及最终验收，并由其出具质量检测报告。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5.验收时乙方必须在现场，验收完毕后作出验收结果报告；验收费用由乙方负责。</w:t>
      </w: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第八条：货款的支付</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1.质量保证金：合同签订后一周内，乙方向甲方缴纳合同金额5%的质量保证金，质量保证金在免费维护期内无质量问题和维护问题，免费维护期满后，于一周内退还（不计息）。</w:t>
      </w:r>
    </w:p>
    <w:p>
      <w:pPr>
        <w:spacing w:line="288" w:lineRule="auto"/>
        <w:ind w:firstLine="396" w:firstLineChars="200"/>
        <w:rPr>
          <w:rFonts w:ascii="宋体" w:hAnsi="宋体"/>
          <w:spacing w:val="-6"/>
          <w:sz w:val="21"/>
          <w:szCs w:val="21"/>
        </w:rPr>
      </w:pPr>
      <w:r>
        <w:rPr>
          <w:rFonts w:hint="eastAsia" w:ascii="宋体" w:hAnsi="宋体" w:cs="宋体"/>
          <w:spacing w:val="-6"/>
          <w:kern w:val="0"/>
          <w:sz w:val="21"/>
          <w:szCs w:val="21"/>
        </w:rPr>
        <w:t>2.付款方式：货物送达指定地点并经采购人验收合格后，甲方向乙方支付合同总价的100%。</w:t>
      </w:r>
    </w:p>
    <w:p>
      <w:pPr>
        <w:spacing w:line="288" w:lineRule="auto"/>
        <w:ind w:right="-686" w:rightChars="-245" w:firstLine="398" w:firstLineChars="200"/>
        <w:rPr>
          <w:rFonts w:ascii="宋体" w:hAnsi="宋体"/>
          <w:b/>
          <w:spacing w:val="-6"/>
          <w:sz w:val="21"/>
          <w:szCs w:val="21"/>
        </w:rPr>
      </w:pPr>
      <w:r>
        <w:rPr>
          <w:rFonts w:hint="eastAsia" w:ascii="宋体" w:hAnsi="宋体"/>
          <w:b/>
          <w:spacing w:val="-6"/>
          <w:sz w:val="21"/>
          <w:szCs w:val="21"/>
        </w:rPr>
        <w:t>第九条：违约责任</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乙方逾期履行合同的，自逾期之日起，向甲方每日偿付合同总价千分之五的滞纳金。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2.甲方逾期支付货款的，自逾期之日起，向乙方每日偿付未付价款千分之五的滞纳金。</w:t>
      </w: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288" w:lineRule="auto"/>
        <w:ind w:firstLine="398" w:firstLineChars="200"/>
        <w:rPr>
          <w:rFonts w:ascii="宋体" w:hAnsi="宋体"/>
          <w:spacing w:val="-6"/>
          <w:sz w:val="21"/>
          <w:szCs w:val="21"/>
        </w:rPr>
      </w:pPr>
      <w:r>
        <w:rPr>
          <w:rFonts w:hAnsi="宋体"/>
          <w:b/>
          <w:spacing w:val="-6"/>
          <w:sz w:val="21"/>
          <w:szCs w:val="21"/>
        </w:rPr>
        <w:t>第十条：不可抗力事件处理</w:t>
      </w:r>
    </w:p>
    <w:p>
      <w:pPr>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第十一条：争议解决</w:t>
      </w: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本合同未尽事宜由三方协商解决，如协商不成，三方同意将本合同引起的争议提交杭州仲裁委员会仲裁解决，仲裁为终局。</w:t>
      </w:r>
    </w:p>
    <w:p>
      <w:pPr>
        <w:spacing w:line="288" w:lineRule="auto"/>
        <w:ind w:right="31" w:rightChars="11" w:firstLine="398" w:firstLineChars="200"/>
        <w:rPr>
          <w:rFonts w:ascii="宋体" w:hAnsi="宋体"/>
          <w:spacing w:val="-6"/>
          <w:sz w:val="21"/>
          <w:szCs w:val="21"/>
        </w:rPr>
      </w:pPr>
      <w:r>
        <w:rPr>
          <w:rFonts w:hint="eastAsia" w:ascii="宋体" w:hAnsi="宋体"/>
          <w:b/>
          <w:spacing w:val="-6"/>
          <w:sz w:val="21"/>
          <w:szCs w:val="21"/>
        </w:rPr>
        <w:t>第十二条：合同生效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1.合同经三方法定代表人或授权代表签字并加盖单位公章后生效。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szCs w:val="21"/>
        </w:rPr>
      </w:pPr>
      <w:r>
        <w:rPr>
          <w:rFonts w:hint="eastAsia" w:ascii="宋体" w:hAnsi="宋体"/>
          <w:spacing w:val="-6"/>
          <w:sz w:val="21"/>
          <w:szCs w:val="21"/>
        </w:rPr>
        <w:t>3.本合同未尽事宜，遵照《合同法》有关条文执行。</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4.本合同一式五份，乙方、采购代理机构各执壹份，甲方执叁份。</w:t>
      </w:r>
    </w:p>
    <w:tbl>
      <w:tblPr>
        <w:tblStyle w:val="28"/>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甲方（需方）：（公章）</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甲方代表：</w:t>
            </w:r>
          </w:p>
          <w:p>
            <w:pPr>
              <w:spacing w:line="288" w:lineRule="auto"/>
              <w:jc w:val="left"/>
              <w:rPr>
                <w:rFonts w:ascii="宋体" w:hAnsi="宋体"/>
                <w:spacing w:val="-6"/>
                <w:sz w:val="21"/>
                <w:szCs w:val="21"/>
              </w:rPr>
            </w:pPr>
            <w:r>
              <w:rPr>
                <w:rFonts w:hint="eastAsia" w:ascii="宋体" w:hAnsi="宋体"/>
                <w:spacing w:val="-6"/>
                <w:sz w:val="21"/>
                <w:szCs w:val="21"/>
              </w:rPr>
              <w:t>(签字）</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乙方代表：</w:t>
            </w:r>
          </w:p>
          <w:p>
            <w:pPr>
              <w:spacing w:line="288" w:lineRule="auto"/>
              <w:jc w:val="left"/>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地址：</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邮编：</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电话：</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传真：</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开户银行：</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帐号：</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签字日期：      年  月  日</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632" w:hRule="atLeast"/>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合同鉴证方：杭州求是招标代理有限公司（公章）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717" w:hRule="atLeast"/>
          <w:jc w:val="center"/>
        </w:trPr>
        <w:tc>
          <w:tcPr>
            <w:tcW w:w="4320" w:type="dxa"/>
            <w:vAlign w:val="center"/>
          </w:tcPr>
          <w:p>
            <w:pPr>
              <w:tabs>
                <w:tab w:val="left" w:pos="2880"/>
              </w:tabs>
              <w:spacing w:line="288" w:lineRule="auto"/>
              <w:jc w:val="left"/>
              <w:rPr>
                <w:rFonts w:ascii="宋体" w:hAnsi="宋体"/>
                <w:spacing w:val="-6"/>
                <w:sz w:val="21"/>
                <w:szCs w:val="21"/>
              </w:rPr>
            </w:pPr>
            <w:r>
              <w:rPr>
                <w:rFonts w:hint="eastAsia" w:ascii="宋体" w:hAnsi="宋体"/>
                <w:spacing w:val="-6"/>
                <w:sz w:val="21"/>
                <w:szCs w:val="21"/>
              </w:rPr>
              <w:t>法定代表人或主要负责人：</w:t>
            </w:r>
          </w:p>
          <w:p>
            <w:pPr>
              <w:spacing w:line="288" w:lineRule="auto"/>
              <w:jc w:val="left"/>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鉴证日期：</w:t>
            </w:r>
          </w:p>
        </w:tc>
      </w:tr>
    </w:tbl>
    <w:p>
      <w:pPr>
        <w:spacing w:line="288" w:lineRule="auto"/>
        <w:jc w:val="center"/>
        <w:rPr>
          <w:rFonts w:ascii="宋体" w:hAnsi="宋体"/>
          <w:b/>
          <w:bCs/>
          <w:spacing w:val="-6"/>
          <w:sz w:val="21"/>
          <w:szCs w:val="21"/>
        </w:rPr>
      </w:pPr>
    </w:p>
    <w:p>
      <w:pPr>
        <w:spacing w:line="288" w:lineRule="auto"/>
        <w:rPr>
          <w:rFonts w:hAnsi="宋体"/>
          <w:b/>
          <w:spacing w:val="-6"/>
          <w:sz w:val="32"/>
          <w:szCs w:val="32"/>
        </w:rPr>
      </w:pPr>
    </w:p>
    <w:p>
      <w:pPr>
        <w:pStyle w:val="13"/>
        <w:tabs>
          <w:tab w:val="left" w:pos="2472"/>
        </w:tabs>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第六章投标文件格式</w:t>
      </w:r>
    </w:p>
    <w:p>
      <w:pPr>
        <w:spacing w:line="360" w:lineRule="auto"/>
        <w:rPr>
          <w:rFonts w:ascii="宋体" w:hAnsi="宋体"/>
          <w:b/>
          <w:bCs/>
          <w:spacing w:val="-6"/>
          <w:sz w:val="24"/>
        </w:rPr>
      </w:pPr>
    </w:p>
    <w:p>
      <w:pPr>
        <w:pStyle w:val="13"/>
        <w:spacing w:beforeLines="0" w:afterLines="0" w:line="360" w:lineRule="auto"/>
        <w:ind w:firstLine="398" w:firstLineChars="200"/>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项目名称：中国美术学院网络中心表格自助生成系统</w:t>
      </w:r>
    </w:p>
    <w:p>
      <w:pPr>
        <w:spacing w:line="360" w:lineRule="auto"/>
        <w:rPr>
          <w:rFonts w:ascii="宋体" w:hAnsi="宋体"/>
          <w:bCs/>
          <w:spacing w:val="-6"/>
          <w:sz w:val="24"/>
        </w:rPr>
      </w:pPr>
      <w:r>
        <w:rPr>
          <w:rFonts w:hint="eastAsia" w:ascii="宋体" w:hAnsi="宋体"/>
          <w:bCs/>
          <w:spacing w:val="-6"/>
          <w:sz w:val="24"/>
        </w:rPr>
        <w:t>项目编号：QSZB-H-C17123MYZ</w:t>
      </w:r>
    </w:p>
    <w:p>
      <w:pPr>
        <w:spacing w:line="360" w:lineRule="auto"/>
        <w:rPr>
          <w:rFonts w:ascii="宋体" w:hAnsi="宋体"/>
          <w:bCs/>
          <w:spacing w:val="-6"/>
          <w:sz w:val="24"/>
        </w:rPr>
      </w:pPr>
      <w:r>
        <w:rPr>
          <w:rFonts w:hint="eastAsia" w:ascii="宋体" w:hAnsi="宋体"/>
          <w:bCs/>
          <w:spacing w:val="-6"/>
          <w:sz w:val="24"/>
        </w:rPr>
        <w:t>投标文件名称：报价文件</w:t>
      </w:r>
      <w:r>
        <w:rPr>
          <w:rFonts w:ascii="宋体" w:hAnsi="宋体"/>
          <w:bCs/>
          <w:spacing w:val="-6"/>
          <w:sz w:val="24"/>
        </w:rPr>
        <w:t>/</w:t>
      </w:r>
      <w:r>
        <w:rPr>
          <w:rFonts w:hint="eastAsia" w:ascii="宋体" w:hAnsi="宋体"/>
          <w:bCs/>
          <w:spacing w:val="-6"/>
          <w:sz w:val="24"/>
        </w:rPr>
        <w:t>商务和技术文件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项目名称：中国美术学院网络中心表格自助生成系统</w:t>
      </w:r>
    </w:p>
    <w:p>
      <w:pPr>
        <w:spacing w:line="360" w:lineRule="auto"/>
        <w:rPr>
          <w:rFonts w:ascii="宋体" w:hAnsi="宋体"/>
          <w:bCs/>
          <w:spacing w:val="-6"/>
          <w:sz w:val="24"/>
        </w:rPr>
      </w:pPr>
      <w:r>
        <w:rPr>
          <w:rFonts w:hint="eastAsia" w:ascii="宋体" w:hAnsi="宋体"/>
          <w:bCs/>
          <w:spacing w:val="-6"/>
          <w:sz w:val="24"/>
        </w:rPr>
        <w:t>项目编号：QSZB-H-C17123MYZ</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开标一览表</w:t>
      </w:r>
    </w:p>
    <w:p>
      <w:pPr>
        <w:spacing w:line="360"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QSZB-H-C17123MYZ</w:t>
      </w:r>
    </w:p>
    <w:p>
      <w:pPr>
        <w:spacing w:line="360" w:lineRule="auto"/>
        <w:rPr>
          <w:rFonts w:ascii="宋体" w:hAnsi="宋体"/>
          <w:spacing w:val="-6"/>
          <w:sz w:val="24"/>
        </w:rPr>
      </w:pPr>
      <w:r>
        <w:rPr>
          <w:rFonts w:hint="eastAsia" w:ascii="宋体" w:hAnsi="宋体"/>
          <w:spacing w:val="-6"/>
          <w:sz w:val="24"/>
        </w:rPr>
        <w:t>投标人名称：</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rPr>
            </w:pPr>
          </w:p>
          <w:p>
            <w:pPr>
              <w:spacing w:line="360" w:lineRule="auto"/>
              <w:rPr>
                <w:rFonts w:ascii="宋体" w:hAnsi="宋体"/>
                <w:spacing w:val="-6"/>
                <w:sz w:val="24"/>
                <w:u w:val="single"/>
              </w:rPr>
            </w:pPr>
            <w:r>
              <w:rPr>
                <w:rFonts w:hint="eastAsia" w:ascii="宋体" w:hAnsi="宋体"/>
                <w:spacing w:val="-6"/>
                <w:sz w:val="24"/>
              </w:rPr>
              <w:t xml:space="preserve">金额大写：，小写：________________________ </w:t>
            </w:r>
          </w:p>
          <w:p>
            <w:pPr>
              <w:spacing w:line="360" w:lineRule="auto"/>
              <w:rPr>
                <w:rFonts w:ascii="宋体" w:hAnsi="宋体"/>
                <w:spacing w:val="-6"/>
                <w:sz w:val="24"/>
                <w:u w:val="single"/>
              </w:rPr>
            </w:pPr>
          </w:p>
          <w:p>
            <w:pPr>
              <w:spacing w:line="360" w:lineRule="auto"/>
              <w:rPr>
                <w:rFonts w:ascii="宋体" w:hAnsi="宋体"/>
                <w:spacing w:val="-6"/>
                <w:sz w:val="24"/>
              </w:rPr>
            </w:pPr>
            <w:r>
              <w:rPr>
                <w:rFonts w:hint="eastAsia" w:ascii="宋体" w:hAnsi="宋体"/>
                <w:spacing w:val="-6"/>
                <w:sz w:val="24"/>
              </w:rPr>
              <w:t>单位：人民币元</w:t>
            </w:r>
          </w:p>
        </w:tc>
      </w:tr>
    </w:tbl>
    <w:p>
      <w:pPr>
        <w:spacing w:line="360" w:lineRule="auto"/>
        <w:jc w:val="left"/>
        <w:rPr>
          <w:rFonts w:ascii="宋体" w:hAnsi="宋体"/>
          <w:spacing w:val="-6"/>
          <w:sz w:val="24"/>
        </w:rPr>
      </w:pPr>
    </w:p>
    <w:p>
      <w:pPr>
        <w:spacing w:line="360" w:lineRule="auto"/>
        <w:jc w:val="left"/>
        <w:rPr>
          <w:rFonts w:ascii="宋体" w:hAnsi="宋体"/>
          <w:b/>
          <w:spacing w:val="-6"/>
          <w:sz w:val="24"/>
        </w:rPr>
      </w:pPr>
      <w:r>
        <w:rPr>
          <w:rFonts w:hint="eastAsia" w:ascii="宋体" w:hAnsi="宋体"/>
          <w:b/>
          <w:spacing w:val="-6"/>
          <w:sz w:val="24"/>
        </w:rPr>
        <w:t>说明:</w:t>
      </w:r>
    </w:p>
    <w:p>
      <w:pPr>
        <w:spacing w:line="360" w:lineRule="auto"/>
        <w:jc w:val="left"/>
        <w:rPr>
          <w:rFonts w:ascii="宋体" w:hAnsi="宋体"/>
          <w:b/>
          <w:spacing w:val="-6"/>
          <w:sz w:val="24"/>
        </w:rPr>
      </w:pPr>
      <w:r>
        <w:rPr>
          <w:rFonts w:hint="eastAsia" w:ascii="宋体" w:hAnsi="宋体"/>
          <w:b/>
          <w:spacing w:val="-6"/>
          <w:sz w:val="24"/>
        </w:rPr>
        <w:t>1、投标总价包括完成所有产品供货及履行所有规定服务所产生的全部费用。</w:t>
      </w:r>
    </w:p>
    <w:p>
      <w:pPr>
        <w:spacing w:line="360" w:lineRule="auto"/>
        <w:jc w:val="left"/>
        <w:rPr>
          <w:rFonts w:ascii="宋体" w:hAnsi="宋体"/>
          <w:b/>
          <w:spacing w:val="-6"/>
          <w:sz w:val="24"/>
        </w:rPr>
      </w:pPr>
      <w:r>
        <w:rPr>
          <w:rFonts w:hint="eastAsia" w:ascii="宋体" w:hAnsi="宋体"/>
          <w:b/>
          <w:spacing w:val="-6"/>
          <w:sz w:val="24"/>
        </w:rPr>
        <w:t>2、以上报价应与“投标报价明细表”中的“投标总价”相一致。</w:t>
      </w:r>
    </w:p>
    <w:p>
      <w:pPr>
        <w:spacing w:line="360" w:lineRule="auto"/>
        <w:rPr>
          <w:rFonts w:ascii="宋体" w:hAnsi="宋体"/>
          <w:b/>
          <w:spacing w:val="-6"/>
          <w:sz w:val="24"/>
        </w:rPr>
      </w:pPr>
      <w:r>
        <w:rPr>
          <w:rFonts w:hint="eastAsia" w:ascii="宋体" w:hAnsi="宋体"/>
          <w:b/>
          <w:spacing w:val="-6"/>
          <w:sz w:val="24"/>
        </w:rPr>
        <w:t>3、此表在不改变格式要求的情况下，可自行制作。</w:t>
      </w: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 xml:space="preserve">投标人名称（盖章）： </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3"/>
        <w:spacing w:beforeLines="0" w:afterLines="0" w:line="360" w:lineRule="auto"/>
        <w:jc w:val="center"/>
        <w:rPr>
          <w:rFonts w:hAnsi="宋体"/>
          <w:b/>
          <w:spacing w:val="-6"/>
        </w:rPr>
      </w:pPr>
      <w:r>
        <w:rPr>
          <w:rFonts w:hAnsi="宋体"/>
          <w:b/>
          <w:spacing w:val="-6"/>
        </w:rPr>
        <w:br w:type="page"/>
      </w:r>
    </w:p>
    <w:p>
      <w:pPr>
        <w:pStyle w:val="13"/>
        <w:spacing w:beforeLines="0" w:afterLines="0" w:line="360" w:lineRule="auto"/>
        <w:jc w:val="center"/>
        <w:rPr>
          <w:rFonts w:hAnsi="宋体"/>
          <w:b/>
          <w:spacing w:val="-6"/>
        </w:rPr>
      </w:pPr>
      <w:r>
        <w:rPr>
          <w:rFonts w:hAnsi="宋体"/>
          <w:b/>
          <w:spacing w:val="-6"/>
        </w:rPr>
        <w:t>投标报价明细表</w:t>
      </w:r>
    </w:p>
    <w:p>
      <w:pPr>
        <w:pStyle w:val="13"/>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559"/>
        <w:gridCol w:w="1276"/>
        <w:gridCol w:w="1417"/>
        <w:gridCol w:w="1418"/>
        <w:gridCol w:w="1134"/>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43"/>
              <w:rPr>
                <w:rFonts w:hint="default" w:ascii="宋体" w:hAnsi="宋体" w:eastAsia="宋体"/>
                <w:spacing w:val="-6"/>
                <w:kern w:val="2"/>
              </w:rPr>
            </w:pPr>
            <w:r>
              <w:rPr>
                <w:rFonts w:ascii="宋体" w:hAnsi="宋体" w:eastAsia="宋体"/>
                <w:spacing w:val="-6"/>
                <w:kern w:val="2"/>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rPr>
            </w:pPr>
            <w:r>
              <w:rPr>
                <w:rFonts w:hint="eastAsia" w:ascii="宋体" w:hAnsi="宋体"/>
                <w:spacing w:val="-6"/>
                <w:sz w:val="24"/>
              </w:rPr>
              <w:t>投标总价：</w:t>
            </w:r>
          </w:p>
        </w:tc>
      </w:tr>
    </w:tbl>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 xml:space="preserve">投标人名称（盖章）： </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3"/>
        <w:spacing w:beforeLines="0" w:afterLines="0" w:line="360" w:lineRule="auto"/>
        <w:rPr>
          <w:rFonts w:hAnsi="宋体"/>
          <w:spacing w:val="-6"/>
        </w:rPr>
      </w:pPr>
    </w:p>
    <w:p>
      <w:pPr>
        <w:pStyle w:val="19"/>
        <w:spacing w:line="360" w:lineRule="auto"/>
        <w:ind w:left="169" w:hanging="168" w:hangingChars="74"/>
        <w:jc w:val="center"/>
        <w:rPr>
          <w:rFonts w:ascii="宋体" w:hAnsi="宋体"/>
          <w:b/>
          <w:spacing w:val="-6"/>
          <w:sz w:val="24"/>
        </w:rPr>
      </w:pPr>
      <w:r>
        <w:rPr>
          <w:rFonts w:ascii="宋体" w:hAnsi="宋体"/>
          <w:spacing w:val="-6"/>
          <w:sz w:val="24"/>
        </w:rPr>
        <w:br w:type="page"/>
      </w:r>
      <w:r>
        <w:rPr>
          <w:rFonts w:hint="eastAsia" w:ascii="宋体" w:hAnsi="宋体"/>
          <w:b/>
          <w:spacing w:val="-6"/>
          <w:sz w:val="24"/>
        </w:rPr>
        <w:t>投标人企业类型声明函</w:t>
      </w:r>
    </w:p>
    <w:p>
      <w:pPr>
        <w:pStyle w:val="19"/>
        <w:spacing w:line="360" w:lineRule="auto"/>
        <w:ind w:left="169" w:hanging="169" w:hangingChars="74"/>
        <w:rPr>
          <w:rFonts w:ascii="宋体" w:hAnsi="宋体"/>
          <w:b/>
          <w:spacing w:val="-6"/>
          <w:sz w:val="24"/>
        </w:rPr>
      </w:pP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本公司参加中国美术学院网络中心表格自助生成系统采购活动（按投标形式选择填写）：</w:t>
      </w:r>
    </w:p>
    <w:p>
      <w:pPr>
        <w:spacing w:line="360" w:lineRule="auto"/>
        <w:ind w:firstLine="480" w:firstLineChars="200"/>
        <w:rPr>
          <w:rFonts w:ascii="宋体" w:hAnsi="宋体"/>
          <w:sz w:val="24"/>
        </w:rPr>
      </w:pPr>
      <w:r>
        <w:rPr>
          <w:rFonts w:hint="eastAsia" w:ascii="宋体" w:hAnsi="宋体"/>
          <w:sz w:val="24"/>
        </w:rPr>
        <w:t>（1）□本公司为直接投标人提供本企业制造的货物。</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z w:val="24"/>
        </w:rPr>
      </w:pPr>
      <w:r>
        <w:rPr>
          <w:rFonts w:ascii="宋体" w:hAnsi="宋体"/>
          <w:sz w:val="24"/>
        </w:rPr>
        <w:br w:type="page"/>
      </w:r>
    </w:p>
    <w:p>
      <w:pPr>
        <w:spacing w:line="360" w:lineRule="auto"/>
        <w:jc w:val="center"/>
        <w:rPr>
          <w:rFonts w:ascii="宋体" w:hAnsi="宋体"/>
          <w:b/>
          <w:bCs/>
          <w:sz w:val="24"/>
        </w:rPr>
      </w:pPr>
      <w:r>
        <w:rPr>
          <w:rFonts w:hint="eastAsia" w:ascii="宋体" w:hAnsi="宋体"/>
          <w:b/>
          <w:bCs/>
          <w:sz w:val="24"/>
        </w:rPr>
        <w:t>小微企业资格证明材料</w:t>
      </w:r>
    </w:p>
    <w:p>
      <w:pPr>
        <w:spacing w:line="360" w:lineRule="auto"/>
        <w:jc w:val="center"/>
        <w:rPr>
          <w:rFonts w:ascii="宋体" w:hAnsi="宋体"/>
          <w:b/>
          <w:bCs/>
          <w:sz w:val="24"/>
        </w:rPr>
      </w:pPr>
      <w:r>
        <w:rPr>
          <w:rFonts w:ascii="宋体" w:hAnsi="宋体"/>
          <w:b/>
          <w:bCs/>
          <w:sz w:val="24"/>
        </w:rPr>
        <w:t>（当地中小企业行政主管部门的确认意见</w:t>
      </w:r>
      <w:r>
        <w:rPr>
          <w:rFonts w:hint="eastAsia" w:ascii="宋体" w:hAnsi="宋体"/>
          <w:b/>
          <w:bCs/>
          <w:sz w:val="24"/>
        </w:rPr>
        <w:t>等）</w:t>
      </w: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numPr>
          <w:ilvl w:val="0"/>
          <w:numId w:val="3"/>
        </w:numPr>
        <w:spacing w:line="360" w:lineRule="auto"/>
        <w:rPr>
          <w:rFonts w:ascii="宋体" w:hAnsi="宋体"/>
          <w:b/>
          <w:bCs/>
          <w:sz w:val="21"/>
          <w:szCs w:val="21"/>
        </w:rPr>
      </w:pPr>
      <w:r>
        <w:rPr>
          <w:rFonts w:ascii="宋体" w:hAnsi="宋体"/>
          <w:b/>
          <w:bCs/>
          <w:sz w:val="21"/>
          <w:szCs w:val="21"/>
        </w:rPr>
        <w:t>如投标人为代理商</w:t>
      </w:r>
      <w:r>
        <w:rPr>
          <w:rFonts w:hint="eastAsia" w:ascii="宋体" w:hAnsi="宋体"/>
          <w:b/>
          <w:bCs/>
          <w:sz w:val="21"/>
          <w:szCs w:val="21"/>
        </w:rPr>
        <w:t>且提供</w:t>
      </w:r>
      <w:r>
        <w:rPr>
          <w:rFonts w:ascii="宋体" w:hAnsi="宋体"/>
          <w:b/>
          <w:bCs/>
          <w:sz w:val="21"/>
          <w:szCs w:val="21"/>
        </w:rPr>
        <w:t>的是小型、微型</w:t>
      </w:r>
      <w:r>
        <w:rPr>
          <w:rFonts w:hint="eastAsia" w:ascii="宋体" w:hAnsi="宋体"/>
          <w:b/>
          <w:bCs/>
          <w:sz w:val="21"/>
          <w:szCs w:val="21"/>
        </w:rPr>
        <w:t>企业</w:t>
      </w:r>
      <w:r>
        <w:rPr>
          <w:rFonts w:ascii="宋体" w:hAnsi="宋体"/>
          <w:b/>
          <w:bCs/>
          <w:sz w:val="21"/>
          <w:szCs w:val="21"/>
        </w:rPr>
        <w:t>制造的货物的，除提供自身小微企业资格证明材料外还须提供</w:t>
      </w:r>
      <w:r>
        <w:rPr>
          <w:rFonts w:hint="eastAsia" w:ascii="宋体" w:hAnsi="宋体"/>
          <w:b/>
          <w:bCs/>
          <w:sz w:val="21"/>
          <w:szCs w:val="21"/>
        </w:rPr>
        <w:t>所</w:t>
      </w:r>
      <w:r>
        <w:rPr>
          <w:rFonts w:ascii="宋体" w:hAnsi="宋体"/>
          <w:b/>
          <w:bCs/>
          <w:sz w:val="21"/>
          <w:szCs w:val="21"/>
        </w:rPr>
        <w:t>代理品牌</w:t>
      </w:r>
      <w:r>
        <w:rPr>
          <w:rFonts w:hint="eastAsia" w:ascii="宋体" w:hAnsi="宋体"/>
          <w:b/>
          <w:bCs/>
          <w:sz w:val="21"/>
          <w:szCs w:val="21"/>
        </w:rPr>
        <w:t>制造</w:t>
      </w:r>
      <w:r>
        <w:rPr>
          <w:rFonts w:ascii="宋体" w:hAnsi="宋体"/>
          <w:b/>
          <w:bCs/>
          <w:sz w:val="21"/>
          <w:szCs w:val="21"/>
        </w:rPr>
        <w:t>商小微企业资格证明材料</w:t>
      </w:r>
      <w:r>
        <w:rPr>
          <w:rFonts w:hint="eastAsia" w:ascii="宋体" w:hAnsi="宋体"/>
          <w:b/>
          <w:bCs/>
          <w:sz w:val="21"/>
          <w:szCs w:val="21"/>
        </w:rPr>
        <w:t>；</w:t>
      </w:r>
    </w:p>
    <w:p>
      <w:pPr>
        <w:numPr>
          <w:ilvl w:val="0"/>
          <w:numId w:val="3"/>
        </w:numPr>
        <w:spacing w:line="360" w:lineRule="auto"/>
        <w:rPr>
          <w:rFonts w:ascii="宋体" w:hAnsi="宋体"/>
          <w:b/>
          <w:bCs/>
          <w:sz w:val="21"/>
          <w:szCs w:val="21"/>
        </w:rPr>
      </w:pPr>
      <w:r>
        <w:rPr>
          <w:rFonts w:hint="eastAsia" w:ascii="宋体" w:hAnsi="宋体"/>
          <w:b/>
          <w:bCs/>
          <w:sz w:val="21"/>
          <w:szCs w:val="21"/>
        </w:rPr>
        <w:t>评标委员会审查此项只根据投标文件本身的内容，不再寻求其他的外部证据；</w:t>
      </w:r>
    </w:p>
    <w:p>
      <w:pPr>
        <w:numPr>
          <w:ilvl w:val="0"/>
          <w:numId w:val="3"/>
        </w:numPr>
        <w:spacing w:line="360" w:lineRule="auto"/>
        <w:rPr>
          <w:rFonts w:ascii="宋体" w:hAnsi="宋体"/>
          <w:b/>
          <w:bCs/>
          <w:sz w:val="21"/>
          <w:szCs w:val="21"/>
        </w:rPr>
      </w:pPr>
      <w:r>
        <w:rPr>
          <w:rFonts w:hint="eastAsia" w:ascii="宋体" w:hAnsi="宋体"/>
          <w:b/>
          <w:bCs/>
          <w:sz w:val="21"/>
          <w:szCs w:val="21"/>
        </w:rPr>
        <w:t>小微企业</w:t>
      </w:r>
      <w:r>
        <w:rPr>
          <w:rFonts w:ascii="宋体" w:hAnsi="宋体"/>
          <w:b/>
          <w:bCs/>
          <w:sz w:val="21"/>
          <w:szCs w:val="21"/>
        </w:rPr>
        <w:t>资格证明材料中</w:t>
      </w:r>
      <w:r>
        <w:rPr>
          <w:rFonts w:hint="eastAsia" w:ascii="宋体" w:hAnsi="宋体"/>
          <w:b/>
          <w:bCs/>
          <w:sz w:val="21"/>
          <w:szCs w:val="21"/>
        </w:rPr>
        <w:t>认定</w:t>
      </w:r>
      <w:r>
        <w:rPr>
          <w:rFonts w:ascii="宋体" w:hAnsi="宋体"/>
          <w:b/>
          <w:bCs/>
          <w:sz w:val="21"/>
          <w:szCs w:val="21"/>
        </w:rPr>
        <w:t>情形为</w:t>
      </w:r>
      <w:r>
        <w:rPr>
          <w:rFonts w:hint="eastAsia" w:ascii="宋体" w:hAnsi="宋体"/>
          <w:b/>
          <w:bCs/>
          <w:sz w:val="21"/>
          <w:szCs w:val="21"/>
        </w:rPr>
        <w:t>“中小</w:t>
      </w:r>
      <w:r>
        <w:rPr>
          <w:rFonts w:ascii="宋体" w:hAnsi="宋体"/>
          <w:b/>
          <w:bCs/>
          <w:sz w:val="21"/>
          <w:szCs w:val="21"/>
        </w:rPr>
        <w:t>企业</w:t>
      </w:r>
      <w:r>
        <w:rPr>
          <w:rFonts w:hint="eastAsia" w:ascii="宋体" w:hAnsi="宋体"/>
          <w:b/>
          <w:bCs/>
          <w:sz w:val="21"/>
          <w:szCs w:val="21"/>
        </w:rPr>
        <w:t>”等</w:t>
      </w:r>
      <w:r>
        <w:rPr>
          <w:rFonts w:ascii="宋体" w:hAnsi="宋体"/>
          <w:b/>
          <w:bCs/>
          <w:sz w:val="21"/>
          <w:szCs w:val="21"/>
        </w:rPr>
        <w:t>无法界定投标人</w:t>
      </w:r>
      <w:r>
        <w:rPr>
          <w:rFonts w:hint="eastAsia" w:ascii="宋体" w:hAnsi="宋体"/>
          <w:b/>
          <w:bCs/>
          <w:sz w:val="21"/>
          <w:szCs w:val="21"/>
        </w:rPr>
        <w:t>或</w:t>
      </w:r>
      <w:r>
        <w:rPr>
          <w:rFonts w:ascii="宋体" w:hAnsi="宋体"/>
          <w:b/>
          <w:bCs/>
          <w:sz w:val="21"/>
          <w:szCs w:val="21"/>
        </w:rPr>
        <w:t>其代理品牌制造商</w:t>
      </w:r>
      <w:r>
        <w:rPr>
          <w:rFonts w:hint="eastAsia" w:ascii="宋体" w:hAnsi="宋体"/>
          <w:b/>
          <w:bCs/>
          <w:sz w:val="21"/>
          <w:szCs w:val="21"/>
        </w:rPr>
        <w:t>具体</w:t>
      </w:r>
      <w:r>
        <w:rPr>
          <w:rFonts w:ascii="宋体" w:hAnsi="宋体"/>
          <w:b/>
          <w:bCs/>
          <w:sz w:val="21"/>
          <w:szCs w:val="21"/>
        </w:rPr>
        <w:t>企业类型的均为无效</w:t>
      </w:r>
      <w:r>
        <w:rPr>
          <w:rFonts w:hint="eastAsia" w:ascii="宋体" w:hAnsi="宋体"/>
          <w:b/>
          <w:bCs/>
          <w:sz w:val="21"/>
          <w:szCs w:val="21"/>
        </w:rPr>
        <w:t>证明</w:t>
      </w:r>
      <w:r>
        <w:rPr>
          <w:rFonts w:ascii="宋体" w:hAnsi="宋体"/>
          <w:b/>
          <w:bCs/>
          <w:sz w:val="21"/>
          <w:szCs w:val="21"/>
        </w:rPr>
        <w:t>材料。</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监狱企业资格证明材料（省级以上监狱管理局、戒毒管理局（含新疆生产建设兵团）出具的属于监狱企业的证明文件）</w:t>
      </w: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spacing w:line="360" w:lineRule="auto"/>
        <w:rPr>
          <w:rFonts w:ascii="宋体" w:hAnsi="宋体"/>
          <w:spacing w:val="-6"/>
          <w:sz w:val="24"/>
        </w:rPr>
      </w:pPr>
      <w:r>
        <w:rPr>
          <w:rFonts w:hAnsi="宋体"/>
          <w:spacing w:val="-6"/>
        </w:rPr>
        <w:br w:type="page"/>
      </w:r>
      <w:r>
        <w:rPr>
          <w:rFonts w:hint="eastAsia" w:ascii="宋体" w:hAnsi="宋体"/>
          <w:bCs/>
          <w:spacing w:val="-6"/>
          <w:sz w:val="24"/>
        </w:rPr>
        <w:t>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项目名称：中国美术学院网络中心表格自助生成系统</w:t>
      </w:r>
    </w:p>
    <w:p>
      <w:pPr>
        <w:spacing w:line="360" w:lineRule="auto"/>
        <w:rPr>
          <w:rFonts w:ascii="宋体" w:hAnsi="宋体"/>
          <w:bCs/>
          <w:spacing w:val="-6"/>
          <w:sz w:val="24"/>
        </w:rPr>
      </w:pPr>
      <w:r>
        <w:rPr>
          <w:rFonts w:hint="eastAsia" w:ascii="宋体" w:hAnsi="宋体"/>
          <w:bCs/>
          <w:spacing w:val="-6"/>
          <w:sz w:val="24"/>
        </w:rPr>
        <w:t>项目编号：QSZB-H-C17123MYZ</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b/>
          <w:spacing w:val="-6"/>
          <w:sz w:val="24"/>
        </w:rPr>
      </w:pPr>
    </w:p>
    <w:p>
      <w:pPr>
        <w:pStyle w:val="13"/>
        <w:spacing w:beforeLines="0" w:afterLines="0" w:line="360" w:lineRule="auto"/>
        <w:rPr>
          <w:rFonts w:hAnsi="宋体"/>
          <w:spacing w:val="-6"/>
        </w:rPr>
      </w:pPr>
    </w:p>
    <w:p>
      <w:pPr>
        <w:spacing w:line="360" w:lineRule="auto"/>
        <w:jc w:val="center"/>
        <w:rPr>
          <w:rFonts w:ascii="宋体" w:hAnsi="宋体"/>
          <w:b/>
          <w:spacing w:val="-6"/>
          <w:sz w:val="52"/>
          <w:szCs w:val="52"/>
        </w:rPr>
      </w:pPr>
      <w:r>
        <w:rPr>
          <w:rFonts w:ascii="宋体" w:hAnsi="宋体"/>
          <w:spacing w:val="-6"/>
          <w:sz w:val="24"/>
        </w:rPr>
        <w:br w:type="page"/>
      </w:r>
      <w:r>
        <w:rPr>
          <w:rFonts w:hint="eastAsia" w:ascii="宋体" w:hAnsi="宋体"/>
          <w:b/>
          <w:spacing w:val="-6"/>
          <w:sz w:val="52"/>
          <w:szCs w:val="52"/>
        </w:rPr>
        <w:t>商务文件</w:t>
      </w:r>
    </w:p>
    <w:p>
      <w:pPr>
        <w:spacing w:line="288" w:lineRule="auto"/>
        <w:jc w:val="center"/>
        <w:rPr>
          <w:rFonts w:ascii="宋体" w:hAnsi="宋体"/>
          <w:b/>
          <w:spacing w:val="-6"/>
          <w:sz w:val="24"/>
        </w:rPr>
      </w:pPr>
    </w:p>
    <w:p>
      <w:pPr>
        <w:spacing w:line="288" w:lineRule="auto"/>
        <w:jc w:val="center"/>
        <w:rPr>
          <w:rFonts w:ascii="宋体" w:hAnsi="宋体"/>
          <w:b/>
          <w:spacing w:val="-6"/>
          <w:sz w:val="24"/>
        </w:rPr>
      </w:pPr>
      <w:r>
        <w:rPr>
          <w:rFonts w:hint="eastAsia" w:ascii="宋体" w:hAnsi="宋体"/>
          <w:b/>
          <w:spacing w:val="-6"/>
          <w:sz w:val="24"/>
        </w:rPr>
        <w:t>投 标 函</w:t>
      </w:r>
    </w:p>
    <w:p>
      <w:pPr>
        <w:spacing w:line="288" w:lineRule="auto"/>
        <w:rPr>
          <w:rFonts w:ascii="宋体" w:hAnsi="宋体"/>
          <w:spacing w:val="-6"/>
          <w:sz w:val="24"/>
        </w:rPr>
      </w:pPr>
      <w:r>
        <w:rPr>
          <w:rFonts w:hint="eastAsia" w:ascii="宋体" w:hAnsi="宋体"/>
          <w:spacing w:val="-6"/>
          <w:sz w:val="24"/>
        </w:rPr>
        <w:t>致：杭州求是招标代理有限公司：</w:t>
      </w:r>
    </w:p>
    <w:p>
      <w:pPr>
        <w:spacing w:line="288"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中国美术学院网络中心表格自助生成系统</w:t>
      </w:r>
      <w:r>
        <w:rPr>
          <w:rFonts w:hint="eastAsia" w:ascii="宋体" w:hAnsi="宋体"/>
          <w:spacing w:val="-6"/>
          <w:sz w:val="24"/>
        </w:rPr>
        <w:t>的招标公告（项目编号</w:t>
      </w:r>
      <w:r>
        <w:rPr>
          <w:rFonts w:hint="eastAsia" w:ascii="宋体" w:hAnsi="宋体"/>
          <w:bCs/>
          <w:spacing w:val="-6"/>
          <w:sz w:val="24"/>
        </w:rPr>
        <w:t>：QSZB-H-C17123MYZ）</w:t>
      </w:r>
      <w:r>
        <w:rPr>
          <w:rFonts w:hint="eastAsia" w:ascii="宋体" w:hAnsi="宋体"/>
          <w:spacing w:val="-6"/>
          <w:sz w:val="24"/>
        </w:rPr>
        <w:t>，签字代表（全名）经正式授权并代表投标人（投标人名称）提交商务和技术文件正本一份、副本份。</w:t>
      </w:r>
    </w:p>
    <w:p>
      <w:pPr>
        <w:spacing w:line="288"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288" w:lineRule="auto"/>
        <w:ind w:firstLine="456" w:firstLineChars="200"/>
        <w:rPr>
          <w:rFonts w:ascii="宋体" w:hAnsi="宋体"/>
          <w:spacing w:val="-6"/>
          <w:sz w:val="24"/>
        </w:rPr>
      </w:pPr>
      <w:r>
        <w:rPr>
          <w:rFonts w:hint="eastAsia" w:ascii="宋体" w:hAnsi="宋体"/>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pPr>
        <w:spacing w:line="288" w:lineRule="auto"/>
        <w:ind w:firstLine="456" w:firstLineChars="200"/>
        <w:rPr>
          <w:rFonts w:ascii="宋体" w:hAnsi="宋体"/>
          <w:spacing w:val="-6"/>
          <w:sz w:val="24"/>
        </w:rPr>
      </w:pPr>
      <w:r>
        <w:rPr>
          <w:rFonts w:hint="eastAsia" w:ascii="宋体" w:hAnsi="宋体"/>
          <w:spacing w:val="-6"/>
          <w:sz w:val="24"/>
        </w:rPr>
        <w:t>2、投标人在投标之前已经与贵方进行了充分的沟通，完全理解并接受招标文件的各项规定和要求，对招标文件的合理性、合法性不再有异议。</w:t>
      </w:r>
    </w:p>
    <w:p>
      <w:pPr>
        <w:spacing w:line="288" w:lineRule="auto"/>
        <w:ind w:firstLine="456" w:firstLineChars="200"/>
        <w:rPr>
          <w:rFonts w:ascii="宋体" w:hAnsi="宋体"/>
          <w:spacing w:val="-6"/>
          <w:sz w:val="24"/>
        </w:rPr>
      </w:pPr>
      <w:r>
        <w:rPr>
          <w:rFonts w:hint="eastAsia" w:ascii="宋体" w:hAnsi="宋体"/>
          <w:spacing w:val="-6"/>
          <w:sz w:val="24"/>
        </w:rPr>
        <w:t>3、本投标有效期自开标日起</w:t>
      </w:r>
      <w:r>
        <w:rPr>
          <w:rFonts w:hint="eastAsia" w:ascii="宋体" w:hAnsi="宋体"/>
          <w:bCs/>
          <w:spacing w:val="-6"/>
          <w:sz w:val="24"/>
          <w:u w:val="single"/>
        </w:rPr>
        <w:t xml:space="preserve"> 90 </w:t>
      </w:r>
      <w:r>
        <w:rPr>
          <w:rFonts w:hint="eastAsia" w:ascii="宋体" w:hAnsi="宋体"/>
          <w:spacing w:val="-6"/>
          <w:sz w:val="24"/>
        </w:rPr>
        <w:t>个日历日。</w:t>
      </w:r>
    </w:p>
    <w:p>
      <w:pPr>
        <w:spacing w:line="288" w:lineRule="auto"/>
        <w:ind w:firstLine="456" w:firstLineChars="200"/>
        <w:rPr>
          <w:rFonts w:ascii="宋体" w:hAnsi="宋体"/>
          <w:spacing w:val="-6"/>
          <w:sz w:val="24"/>
        </w:rPr>
      </w:pPr>
      <w:r>
        <w:rPr>
          <w:rFonts w:hint="eastAsia" w:ascii="宋体" w:hAnsi="宋体"/>
          <w:spacing w:val="-6"/>
          <w:sz w:val="24"/>
        </w:rPr>
        <w:t>4、如中标，本投标文件至本项目合同履行完毕止均保持有效，本投标人将按“招标文件”及政府采购法律、法规的规定履行合同责任和义务。</w:t>
      </w:r>
    </w:p>
    <w:p>
      <w:pPr>
        <w:spacing w:line="288" w:lineRule="auto"/>
        <w:ind w:firstLine="456" w:firstLineChars="200"/>
        <w:rPr>
          <w:rFonts w:ascii="宋体" w:hAnsi="宋体"/>
          <w:spacing w:val="-6"/>
          <w:sz w:val="24"/>
        </w:rPr>
      </w:pPr>
      <w:r>
        <w:rPr>
          <w:rFonts w:hint="eastAsia" w:ascii="宋体" w:hAnsi="宋体"/>
          <w:spacing w:val="-6"/>
          <w:sz w:val="24"/>
        </w:rPr>
        <w:t>5、投标人同意按照贵方要求提供与投标有关的一切数据或资料。</w:t>
      </w:r>
    </w:p>
    <w:p>
      <w:pPr>
        <w:spacing w:line="288" w:lineRule="auto"/>
        <w:ind w:firstLine="456" w:firstLineChars="200"/>
        <w:rPr>
          <w:rFonts w:ascii="宋体" w:hAnsi="宋体"/>
          <w:spacing w:val="-6"/>
          <w:sz w:val="24"/>
        </w:rPr>
      </w:pPr>
      <w:r>
        <w:rPr>
          <w:rFonts w:hint="eastAsia" w:ascii="宋体" w:hAnsi="宋体"/>
          <w:spacing w:val="-6"/>
          <w:sz w:val="24"/>
        </w:rPr>
        <w:t>6、与本投标有关的一切正式往来信函请寄：</w:t>
      </w:r>
    </w:p>
    <w:p>
      <w:pPr>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____邮编：__________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r>
        <w:rPr>
          <w:rFonts w:hint="eastAsia" w:ascii="宋体" w:hAnsi="宋体"/>
          <w:spacing w:val="-6"/>
          <w:sz w:val="24"/>
        </w:rPr>
        <w:t>电话：__________</w:t>
      </w:r>
      <w:r>
        <w:rPr>
          <w:rFonts w:hint="eastAsia" w:ascii="宋体" w:hAnsi="宋体"/>
          <w:spacing w:val="-6"/>
          <w:sz w:val="24"/>
          <w:u w:val="single"/>
        </w:rPr>
        <w:t xml:space="preserve">         _</w:t>
      </w:r>
      <w:r>
        <w:rPr>
          <w:rFonts w:hint="eastAsia" w:ascii="宋体" w:hAnsi="宋体"/>
          <w:spacing w:val="-6"/>
          <w:sz w:val="24"/>
        </w:rPr>
        <w:t>____传真：__________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r>
        <w:rPr>
          <w:rFonts w:hint="eastAsia" w:ascii="宋体" w:hAnsi="宋体"/>
          <w:spacing w:val="-6"/>
          <w:sz w:val="24"/>
        </w:rPr>
        <w:t>投标人代表姓名：__________</w:t>
      </w:r>
      <w:r>
        <w:rPr>
          <w:rFonts w:hint="eastAsia" w:ascii="宋体" w:hAnsi="宋体"/>
          <w:spacing w:val="-6"/>
          <w:sz w:val="24"/>
          <w:u w:val="single"/>
        </w:rPr>
        <w:t xml:space="preserve">         _</w:t>
      </w:r>
      <w:r>
        <w:rPr>
          <w:rFonts w:hint="eastAsia" w:ascii="宋体" w:hAnsi="宋体"/>
          <w:spacing w:val="-6"/>
          <w:sz w:val="24"/>
        </w:rPr>
        <w:t>____职务：__________</w:t>
      </w:r>
    </w:p>
    <w:p>
      <w:pPr>
        <w:spacing w:line="288" w:lineRule="auto"/>
        <w:rPr>
          <w:rFonts w:ascii="宋体" w:hAnsi="宋体"/>
          <w:spacing w:val="-6"/>
          <w:sz w:val="24"/>
        </w:rPr>
      </w:pPr>
      <w:r>
        <w:rPr>
          <w:rFonts w:hint="eastAsia" w:ascii="宋体" w:hAnsi="宋体"/>
          <w:spacing w:val="-6"/>
          <w:sz w:val="24"/>
        </w:rPr>
        <w:t>开户银行：__________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r>
        <w:rPr>
          <w:rFonts w:hint="eastAsia" w:ascii="宋体" w:hAnsi="宋体"/>
          <w:spacing w:val="-6"/>
          <w:sz w:val="24"/>
        </w:rPr>
        <w:t>银行帐号：__________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投标人名称（</w:t>
      </w:r>
      <w:r>
        <w:rPr>
          <w:rFonts w:hint="eastAsia" w:ascii="宋体" w:hAnsi="宋体"/>
          <w:bCs/>
          <w:spacing w:val="-6"/>
          <w:sz w:val="24"/>
        </w:rPr>
        <w:t>盖章）</w:t>
      </w:r>
      <w:r>
        <w:rPr>
          <w:rFonts w:hint="eastAsia" w:ascii="宋体" w:hAnsi="宋体"/>
          <w:spacing w:val="-6"/>
          <w:sz w:val="24"/>
        </w:rPr>
        <w:t xml:space="preserve">: </w:t>
      </w:r>
    </w:p>
    <w:p>
      <w:pPr>
        <w:spacing w:line="288" w:lineRule="auto"/>
        <w:rPr>
          <w:rFonts w:ascii="宋体" w:hAnsi="宋体"/>
          <w:spacing w:val="-6"/>
          <w:sz w:val="24"/>
        </w:rPr>
      </w:pPr>
      <w:r>
        <w:rPr>
          <w:rFonts w:hint="eastAsia" w:ascii="宋体" w:hAnsi="宋体"/>
          <w:spacing w:val="-6"/>
          <w:sz w:val="24"/>
        </w:rPr>
        <w:t>授权代表签字</w:t>
      </w:r>
      <w:r>
        <w:rPr>
          <w:rFonts w:hint="eastAsia" w:ascii="宋体" w:hAnsi="宋体"/>
          <w:bCs/>
          <w:spacing w:val="-6"/>
          <w:sz w:val="24"/>
        </w:rPr>
        <w:t>：</w:t>
      </w:r>
    </w:p>
    <w:p>
      <w:pPr>
        <w:spacing w:line="288"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 中国美术学院、杭州求是招标代理有限公司：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ascii="宋体" w:hAnsi="宋体"/>
          <w:bCs/>
          <w:spacing w:val="-6"/>
          <w:sz w:val="24"/>
        </w:rPr>
        <w:t>（姓名）系</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b/>
          <w:bCs/>
          <w:spacing w:val="-6"/>
          <w:sz w:val="24"/>
        </w:rPr>
      </w:pPr>
      <w:r>
        <w:rPr>
          <w:rFonts w:hint="eastAsia" w:ascii="宋体" w:hAnsi="宋体"/>
          <w:b/>
          <w:bCs/>
          <w:spacing w:val="-6"/>
          <w:sz w:val="24"/>
        </w:rPr>
        <w:t>说明：投标人的</w:t>
      </w:r>
      <w:r>
        <w:rPr>
          <w:rFonts w:ascii="宋体" w:hAnsi="宋体"/>
          <w:b/>
          <w:bCs/>
          <w:spacing w:val="-6"/>
          <w:sz w:val="24"/>
        </w:rPr>
        <w:t>法定代表人参加投标，须在投标文件中提供法定代表人资格证明</w:t>
      </w:r>
      <w:r>
        <w:rPr>
          <w:rFonts w:hint="eastAsia" w:ascii="宋体" w:hAnsi="宋体"/>
          <w:b/>
          <w:bCs/>
          <w:spacing w:val="-6"/>
          <w:sz w:val="24"/>
        </w:rPr>
        <w:t>书；投标人的法定代表人委托授权代表</w:t>
      </w:r>
      <w:r>
        <w:rPr>
          <w:rFonts w:ascii="宋体" w:hAnsi="宋体"/>
          <w:b/>
          <w:bCs/>
          <w:spacing w:val="-6"/>
          <w:sz w:val="24"/>
        </w:rPr>
        <w:t>参加投标，须在投标文件中提供附有法定代表人资格证明</w:t>
      </w:r>
      <w:r>
        <w:rPr>
          <w:rFonts w:hint="eastAsia" w:ascii="宋体" w:hAnsi="宋体"/>
          <w:b/>
          <w:bCs/>
          <w:spacing w:val="-6"/>
          <w:sz w:val="24"/>
        </w:rPr>
        <w:t>书</w:t>
      </w:r>
      <w:r>
        <w:rPr>
          <w:rFonts w:ascii="宋体" w:hAnsi="宋体"/>
          <w:b/>
          <w:bCs/>
          <w:spacing w:val="-6"/>
          <w:sz w:val="24"/>
        </w:rPr>
        <w:t>的法定代表人授权</w:t>
      </w:r>
      <w:r>
        <w:rPr>
          <w:rFonts w:hint="eastAsia" w:ascii="宋体" w:hAnsi="宋体"/>
          <w:b/>
          <w:bCs/>
          <w:spacing w:val="-6"/>
          <w:sz w:val="24"/>
        </w:rPr>
        <w:t>委托</w:t>
      </w:r>
      <w:r>
        <w:rPr>
          <w:rFonts w:ascii="宋体" w:hAnsi="宋体"/>
          <w:b/>
          <w:bCs/>
          <w:spacing w:val="-6"/>
          <w:sz w:val="24"/>
        </w:rPr>
        <w:t>书</w:t>
      </w:r>
      <w:r>
        <w:rPr>
          <w:rFonts w:hint="eastAsia" w:ascii="宋体" w:hAnsi="宋体"/>
          <w:b/>
          <w:bCs/>
          <w:spacing w:val="-6"/>
          <w:sz w:val="24"/>
        </w:rPr>
        <w:t>。</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bCs/>
          <w:spacing w:val="-6"/>
          <w:sz w:val="24"/>
        </w:rPr>
      </w:pP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致：中国美术学院、杭州求是招标代理有限公司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 （姓名）系 （投标人名称）的法定代表人，现授权委托本单位在职职工：（姓名），身份证号码：以我方的名义参加</w:t>
      </w:r>
      <w:r>
        <w:rPr>
          <w:rFonts w:hint="eastAsia" w:ascii="宋体" w:hAnsi="宋体"/>
          <w:bCs/>
          <w:spacing w:val="-6"/>
          <w:sz w:val="24"/>
          <w:u w:val="single"/>
        </w:rPr>
        <w:t>中国美术学院网络中心表格自助生成系统</w:t>
      </w:r>
      <w:r>
        <w:rPr>
          <w:rFonts w:hint="eastAsia" w:ascii="宋体" w:hAnsi="宋体"/>
          <w:bCs/>
          <w:spacing w:val="-6"/>
          <w:sz w:val="24"/>
        </w:rPr>
        <w:t>项目</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line="360" w:lineRule="auto"/>
        <w:ind w:firstLine="458" w:firstLineChars="200"/>
        <w:rPr>
          <w:rFonts w:ascii="宋体" w:hAnsi="宋体"/>
          <w:b/>
          <w:spacing w:val="-6"/>
          <w:sz w:val="24"/>
          <w:szCs w:val="20"/>
        </w:rPr>
      </w:pPr>
      <w:r>
        <w:rPr>
          <w:rFonts w:hint="eastAsia" w:ascii="宋体" w:hAnsi="宋体"/>
          <w:b/>
          <w:spacing w:val="-6"/>
          <w:sz w:val="24"/>
          <w:szCs w:val="20"/>
        </w:rPr>
        <w:t>▲授权代表必须是本单位在职员工，附投标授权代表社保交纳证明，不提供投标文件将被视为无效。</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pStyle w:val="13"/>
        <w:spacing w:beforeLines="0" w:afterLines="0" w:line="360" w:lineRule="auto"/>
        <w:rPr>
          <w:rFonts w:hAnsi="宋体"/>
          <w:b/>
          <w:spacing w:val="-6"/>
        </w:rPr>
      </w:pP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szCs w:val="20"/>
        </w:rPr>
      </w:pPr>
      <w:r>
        <w:rPr>
          <w:rFonts w:hint="eastAsia" w:ascii="宋体" w:hAnsi="宋体"/>
          <w:b/>
          <w:spacing w:val="-6"/>
          <w:sz w:val="24"/>
          <w:szCs w:val="20"/>
        </w:rPr>
        <w:t>▲投标授权代表社保交纳证明</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spacing w:line="360" w:lineRule="auto"/>
        <w:rPr>
          <w:rFonts w:ascii="宋体" w:hAnsi="宋体"/>
          <w:spacing w:val="-6"/>
          <w:sz w:val="24"/>
        </w:rPr>
      </w:pPr>
      <w:r>
        <w:rPr>
          <w:rFonts w:hint="eastAsia" w:ascii="宋体" w:hAnsi="宋体"/>
          <w:spacing w:val="-6"/>
          <w:sz w:val="24"/>
        </w:rPr>
        <w:t>致：杭州求是招标代理有限公司：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（投标人名称）系中华人民共和国合法企业，经营地址。</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我方愿意参加贵方组织的中国美术学院网络中心表格自助生成系统</w:t>
      </w:r>
      <w:r>
        <w:rPr>
          <w:rFonts w:hint="eastAsia" w:ascii="宋体" w:hAnsi="宋体"/>
          <w:bCs/>
          <w:spacing w:val="-6"/>
          <w:sz w:val="24"/>
        </w:rPr>
        <w:t>项目</w:t>
      </w:r>
      <w:r>
        <w:rPr>
          <w:rFonts w:hint="eastAsia" w:ascii="宋体" w:hAnsi="宋体"/>
          <w:spacing w:val="-6"/>
          <w:sz w:val="24"/>
        </w:rPr>
        <w:t>的投标，为便于贵方公正、择优地确定中标方及其投标产品和服务，我方就本次投标有关事项郑重声明如下：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spacing w:val="-6"/>
          <w:sz w:val="24"/>
          <w:szCs w:val="24"/>
        </w:rPr>
      </w:pPr>
      <w:r>
        <w:rPr>
          <w:rFonts w:hAnsi="宋体"/>
          <w:spacing w:val="-6"/>
          <w:sz w:val="24"/>
          <w:szCs w:val="24"/>
        </w:rPr>
        <w:t>3、我方最近三年内的被公开披露或查处的违法违规行为有：</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pStyle w:val="11"/>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42"/>
        <w:spacing w:line="360" w:lineRule="auto"/>
        <w:rPr>
          <w:rFonts w:ascii="宋体" w:hAnsi="宋体"/>
          <w:spacing w:val="-6"/>
          <w:szCs w:val="24"/>
        </w:rPr>
      </w:pPr>
    </w:p>
    <w:p>
      <w:pPr>
        <w:pStyle w:val="42"/>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pStyle w:val="42"/>
        <w:spacing w:line="360" w:lineRule="auto"/>
        <w:rPr>
          <w:rFonts w:ascii="宋体" w:hAnsi="宋体"/>
          <w:spacing w:val="-6"/>
          <w:szCs w:val="24"/>
        </w:rPr>
      </w:pPr>
    </w:p>
    <w:p>
      <w:pPr>
        <w:spacing w:line="360" w:lineRule="auto"/>
        <w:jc w:val="left"/>
        <w:rPr>
          <w:rFonts w:ascii="宋体" w:hAnsi="宋体"/>
          <w:spacing w:val="-6"/>
          <w:sz w:val="24"/>
        </w:rPr>
      </w:pP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hint="eastAsia" w:ascii="宋体" w:hAnsi="宋体"/>
          <w:b/>
          <w:spacing w:val="-6"/>
          <w:sz w:val="24"/>
        </w:rPr>
        <w:t>商务偏离表</w:t>
      </w:r>
    </w:p>
    <w:p>
      <w:pPr>
        <w:spacing w:line="360" w:lineRule="auto"/>
        <w:rPr>
          <w:rFonts w:ascii="宋体" w:hAnsi="宋体"/>
          <w:spacing w:val="-6"/>
          <w:sz w:val="24"/>
        </w:rPr>
      </w:pPr>
      <w:r>
        <w:rPr>
          <w:rFonts w:hint="eastAsia" w:ascii="宋体" w:hAnsi="宋体"/>
          <w:bCs/>
          <w:spacing w:val="-6"/>
          <w:sz w:val="24"/>
        </w:rPr>
        <w:t>项目名称：中国美术学院网络中心表格自助生成系统</w:t>
      </w:r>
    </w:p>
    <w:p>
      <w:pPr>
        <w:spacing w:line="360" w:lineRule="auto"/>
        <w:rPr>
          <w:rFonts w:ascii="宋体" w:hAnsi="宋体"/>
          <w:bCs/>
          <w:spacing w:val="-6"/>
          <w:sz w:val="24"/>
        </w:rPr>
      </w:pPr>
      <w:r>
        <w:rPr>
          <w:rFonts w:hint="eastAsia" w:ascii="宋体" w:hAnsi="宋体"/>
          <w:bCs/>
          <w:spacing w:val="-6"/>
          <w:sz w:val="24"/>
        </w:rPr>
        <w:t>项目编号：QSZB-H-C17123MYZ</w:t>
      </w:r>
    </w:p>
    <w:tbl>
      <w:tblPr>
        <w:tblStyle w:val="28"/>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招标文件要求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是否偏离</w:t>
            </w:r>
          </w:p>
          <w:p>
            <w:pPr>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免费维护期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交货时间及地点</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付款条件</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售后技术服务要求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1、逐项按照招标文件要求填写响应规格。</w:t>
      </w:r>
    </w:p>
    <w:p>
      <w:pPr>
        <w:spacing w:line="360" w:lineRule="auto"/>
        <w:rPr>
          <w:rFonts w:ascii="宋体" w:hAnsi="宋体"/>
          <w:b/>
          <w:bCs/>
          <w:spacing w:val="-6"/>
          <w:sz w:val="24"/>
        </w:rPr>
      </w:pPr>
      <w:r>
        <w:rPr>
          <w:rFonts w:hint="eastAsia" w:ascii="宋体" w:hAnsi="宋体"/>
          <w:b/>
          <w:bCs/>
          <w:spacing w:val="-6"/>
          <w:sz w:val="24"/>
        </w:rPr>
        <w:t>2、偏离说明是指对招标文件要求存在不同之处的解释说明。偏离系指：正偏离（高于招标要求）、负偏离（低于招标要求）、无偏离（满足招标要求）。</w:t>
      </w:r>
    </w:p>
    <w:p>
      <w:pPr>
        <w:spacing w:line="360" w:lineRule="auto"/>
        <w:rPr>
          <w:rFonts w:ascii="宋体" w:hAnsi="宋体"/>
          <w:b/>
          <w:bCs/>
          <w:spacing w:val="-6"/>
          <w:sz w:val="24"/>
        </w:rPr>
      </w:pPr>
      <w:r>
        <w:rPr>
          <w:rFonts w:hint="eastAsia" w:ascii="宋体" w:hAnsi="宋体"/>
          <w:b/>
          <w:bCs/>
          <w:spacing w:val="-6"/>
          <w:sz w:val="24"/>
        </w:rPr>
        <w:t>3、如不填写或填写不全或未如实填写，自行承担投标风险。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rPr>
          <w:rFonts w:ascii="宋体" w:hAnsi="宋体"/>
          <w:spacing w:val="-6"/>
          <w:sz w:val="24"/>
        </w:rPr>
      </w:pPr>
    </w:p>
    <w:p>
      <w:pPr>
        <w:spacing w:line="360" w:lineRule="auto"/>
        <w:jc w:val="center"/>
        <w:rPr>
          <w:rFonts w:ascii="宋体" w:hAnsi="宋体"/>
          <w:spacing w:val="-6"/>
          <w:sz w:val="24"/>
        </w:rPr>
      </w:pPr>
      <w:r>
        <w:rPr>
          <w:rFonts w:ascii="宋体" w:hAnsi="宋体"/>
          <w:spacing w:val="-6"/>
          <w:sz w:val="24"/>
        </w:rPr>
        <w:br w:type="page"/>
      </w:r>
    </w:p>
    <w:p>
      <w:pPr>
        <w:spacing w:line="360" w:lineRule="auto"/>
        <w:jc w:val="center"/>
        <w:rPr>
          <w:rFonts w:ascii="宋体" w:hAnsi="宋体"/>
          <w:b/>
          <w:spacing w:val="-6"/>
          <w:sz w:val="24"/>
        </w:rPr>
      </w:pPr>
      <w:r>
        <w:rPr>
          <w:rFonts w:hint="eastAsia" w:ascii="宋体" w:hAnsi="宋体"/>
          <w:b/>
          <w:spacing w:val="-6"/>
          <w:sz w:val="24"/>
        </w:rPr>
        <w:t>投标人一般情况</w:t>
      </w:r>
    </w:p>
    <w:tbl>
      <w:tblPr>
        <w:tblStyle w:val="28"/>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563"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563"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563"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8</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9</w:t>
            </w:r>
          </w:p>
        </w:tc>
        <w:tc>
          <w:tcPr>
            <w:tcW w:w="2520" w:type="dxa"/>
            <w:vAlign w:val="center"/>
          </w:tcPr>
          <w:p>
            <w:pPr>
              <w:spacing w:line="360" w:lineRule="auto"/>
              <w:rPr>
                <w:rFonts w:ascii="宋体" w:hAnsi="宋体"/>
                <w:spacing w:val="-6"/>
                <w:sz w:val="24"/>
              </w:rPr>
            </w:pPr>
            <w:r>
              <w:rPr>
                <w:rFonts w:hint="eastAsia" w:ascii="宋体" w:hAnsi="宋体"/>
                <w:spacing w:val="-6"/>
                <w:sz w:val="24"/>
              </w:rPr>
              <w:t>作为中标方经历年数</w:t>
            </w:r>
          </w:p>
        </w:tc>
        <w:tc>
          <w:tcPr>
            <w:tcW w:w="6348" w:type="dxa"/>
            <w:gridSpan w:val="2"/>
            <w:vAlign w:val="center"/>
          </w:tcPr>
          <w:p>
            <w:pPr>
              <w:spacing w:line="360" w:lineRule="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10</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48"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9"/>
        <w:spacing w:line="360" w:lineRule="auto"/>
        <w:ind w:left="0" w:firstLine="0" w:firstLineChars="0"/>
        <w:rPr>
          <w:rFonts w:ascii="宋体" w:hAnsi="宋体"/>
          <w:b/>
          <w:spacing w:val="-6"/>
          <w:sz w:val="24"/>
        </w:rPr>
      </w:pPr>
      <w:r>
        <w:rPr>
          <w:rFonts w:ascii="宋体" w:hAnsi="宋体"/>
          <w:b/>
          <w:spacing w:val="-6"/>
          <w:sz w:val="24"/>
        </w:rPr>
        <w:br w:type="page"/>
      </w:r>
    </w:p>
    <w:p>
      <w:pPr>
        <w:pStyle w:val="11"/>
        <w:spacing w:line="480" w:lineRule="auto"/>
        <w:ind w:firstLine="0"/>
        <w:jc w:val="center"/>
        <w:rPr>
          <w:rFonts w:hAnsi="宋体"/>
          <w:b/>
          <w:spacing w:val="-6"/>
          <w:sz w:val="24"/>
          <w:szCs w:val="24"/>
        </w:rPr>
      </w:pPr>
      <w:r>
        <w:rPr>
          <w:rFonts w:hint="eastAsia" w:hAnsi="宋体"/>
          <w:b/>
          <w:spacing w:val="-6"/>
          <w:sz w:val="24"/>
          <w:szCs w:val="24"/>
        </w:rPr>
        <w:t>有效的法人或者其他组织的营业执照等证明文件</w:t>
      </w:r>
      <w:r>
        <w:rPr>
          <w:rFonts w:hint="eastAsia" w:hAnsi="宋体"/>
          <w:spacing w:val="-6"/>
          <w:sz w:val="24"/>
          <w:szCs w:val="24"/>
        </w:rPr>
        <w:t>（复印件加盖公章）</w:t>
      </w:r>
      <w:r>
        <w:rPr>
          <w:rFonts w:hint="eastAsia" w:hAnsi="宋体"/>
          <w:b/>
          <w:spacing w:val="-6"/>
          <w:sz w:val="24"/>
          <w:szCs w:val="24"/>
        </w:rPr>
        <w:t>，自然人的身份证明</w:t>
      </w: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如投标人是企业（包括合伙企业），提供在工商部门注册的有效“企业法人营业执照”或“营业执照”；</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如投标人是事业单位，提供有效的“事业单位法人证书”；</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如投标人是非企业专业服务机构的，提供执业许可证等证明文件；</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4、</w:t>
      </w:r>
      <w:r>
        <w:rPr>
          <w:rFonts w:hint="eastAsia" w:ascii="宋体" w:hAnsi="宋体"/>
          <w:b/>
          <w:spacing w:val="-6"/>
          <w:sz w:val="21"/>
          <w:szCs w:val="21"/>
        </w:rPr>
        <w:tab/>
      </w:r>
      <w:r>
        <w:rPr>
          <w:rFonts w:hint="eastAsia" w:ascii="宋体" w:hAnsi="宋体"/>
          <w:b/>
          <w:spacing w:val="-6"/>
          <w:sz w:val="21"/>
          <w:szCs w:val="21"/>
        </w:rPr>
        <w:t>如投标人是个体工商户，提供有效的“个体工商户营业执照”；</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5、</w:t>
      </w:r>
      <w:r>
        <w:rPr>
          <w:rFonts w:hint="eastAsia" w:ascii="宋体" w:hAnsi="宋体"/>
          <w:b/>
          <w:spacing w:val="-6"/>
          <w:sz w:val="21"/>
          <w:szCs w:val="21"/>
        </w:rPr>
        <w:tab/>
      </w:r>
      <w:r>
        <w:rPr>
          <w:rFonts w:hint="eastAsia" w:ascii="宋体" w:hAnsi="宋体"/>
          <w:b/>
          <w:spacing w:val="-6"/>
          <w:sz w:val="21"/>
          <w:szCs w:val="21"/>
        </w:rPr>
        <w:t>如投标人是自然人，提供有效的自然人身份证明。</w:t>
      </w:r>
    </w:p>
    <w:p>
      <w:pPr>
        <w:pStyle w:val="11"/>
        <w:spacing w:line="480" w:lineRule="auto"/>
        <w:ind w:firstLine="0"/>
        <w:jc w:val="left"/>
        <w:rPr>
          <w:rFonts w:hAnsi="宋体"/>
          <w:b/>
          <w:spacing w:val="-6"/>
          <w:sz w:val="24"/>
          <w:szCs w:val="24"/>
        </w:rPr>
      </w:pPr>
    </w:p>
    <w:p>
      <w:pPr>
        <w:pStyle w:val="11"/>
        <w:spacing w:line="480" w:lineRule="auto"/>
        <w:ind w:firstLine="0"/>
        <w:jc w:val="left"/>
        <w:rPr>
          <w:rFonts w:hAnsi="宋体"/>
          <w:b/>
          <w:spacing w:val="-6"/>
          <w:sz w:val="24"/>
          <w:szCs w:val="24"/>
        </w:rPr>
      </w:pPr>
      <w:r>
        <w:rPr>
          <w:rFonts w:hAnsi="宋体"/>
          <w:b/>
          <w:spacing w:val="-6"/>
          <w:sz w:val="24"/>
          <w:szCs w:val="24"/>
        </w:rPr>
        <w:br w:type="page"/>
      </w:r>
    </w:p>
    <w:p>
      <w:pPr>
        <w:pStyle w:val="11"/>
        <w:spacing w:line="480" w:lineRule="auto"/>
        <w:ind w:firstLine="0"/>
        <w:jc w:val="center"/>
        <w:rPr>
          <w:rFonts w:hAnsi="宋体"/>
          <w:spacing w:val="-6"/>
          <w:sz w:val="24"/>
          <w:szCs w:val="24"/>
        </w:rPr>
      </w:pPr>
      <w:r>
        <w:rPr>
          <w:rFonts w:hint="eastAsia" w:hAnsi="宋体"/>
          <w:b/>
          <w:spacing w:val="-6"/>
          <w:sz w:val="24"/>
          <w:szCs w:val="24"/>
        </w:rPr>
        <w:t>最近一个年度的财务报告</w:t>
      </w:r>
      <w:r>
        <w:rPr>
          <w:rFonts w:hint="eastAsia" w:hAnsi="宋体"/>
          <w:spacing w:val="-6"/>
          <w:sz w:val="24"/>
          <w:szCs w:val="24"/>
        </w:rPr>
        <w:t>（复印件加盖公章）</w:t>
      </w:r>
      <w:r>
        <w:rPr>
          <w:rFonts w:hint="eastAsia" w:hAnsi="宋体"/>
          <w:b/>
          <w:spacing w:val="-6"/>
          <w:sz w:val="24"/>
          <w:szCs w:val="24"/>
        </w:rPr>
        <w:t>或开标前三个月内出具的银行资信证明</w:t>
      </w:r>
      <w:r>
        <w:rPr>
          <w:rFonts w:hint="eastAsia" w:hAnsi="宋体"/>
          <w:spacing w:val="-6"/>
          <w:sz w:val="24"/>
          <w:szCs w:val="24"/>
        </w:rPr>
        <w:t>（若资信证明中注明复印无效，需提交正本）</w:t>
      </w:r>
    </w:p>
    <w:p>
      <w:pPr>
        <w:pStyle w:val="11"/>
        <w:spacing w:line="480" w:lineRule="auto"/>
        <w:ind w:firstLine="0"/>
        <w:jc w:val="left"/>
        <w:rPr>
          <w:rFonts w:hAnsi="宋体"/>
          <w:spacing w:val="-6"/>
          <w:sz w:val="24"/>
          <w:szCs w:val="24"/>
        </w:rPr>
      </w:pPr>
    </w:p>
    <w:p>
      <w:pPr>
        <w:pStyle w:val="11"/>
        <w:spacing w:line="480" w:lineRule="auto"/>
        <w:ind w:firstLine="0"/>
        <w:jc w:val="left"/>
        <w:rPr>
          <w:rFonts w:hAnsi="宋体"/>
          <w:spacing w:val="-6"/>
          <w:sz w:val="24"/>
          <w:szCs w:val="24"/>
        </w:rPr>
      </w:pPr>
    </w:p>
    <w:p>
      <w:pPr>
        <w:pStyle w:val="11"/>
        <w:spacing w:line="480" w:lineRule="auto"/>
        <w:ind w:firstLine="0"/>
        <w:jc w:val="left"/>
        <w:rPr>
          <w:rFonts w:hAnsi="宋体"/>
          <w:spacing w:val="-6"/>
          <w:sz w:val="24"/>
          <w:szCs w:val="24"/>
        </w:rPr>
      </w:pPr>
    </w:p>
    <w:p>
      <w:pPr>
        <w:pStyle w:val="11"/>
        <w:spacing w:line="480" w:lineRule="auto"/>
        <w:ind w:firstLine="0"/>
        <w:jc w:val="left"/>
        <w:rPr>
          <w:rFonts w:hAnsi="宋体"/>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1、最近一个年度的财务报告</w:t>
      </w:r>
      <w:r>
        <w:rPr>
          <w:rFonts w:ascii="宋体" w:hAnsi="宋体"/>
          <w:b/>
          <w:spacing w:val="-6"/>
          <w:sz w:val="21"/>
          <w:szCs w:val="21"/>
        </w:rPr>
        <w:t>（</w:t>
      </w:r>
      <w:r>
        <w:rPr>
          <w:rFonts w:hint="eastAsia" w:ascii="宋体" w:hAnsi="宋体"/>
          <w:b/>
          <w:spacing w:val="-6"/>
          <w:sz w:val="21"/>
          <w:szCs w:val="21"/>
        </w:rPr>
        <w:t>报告中须包括资产负债表、利润表、现金流量表、所有者权益变动表及其附注</w:t>
      </w:r>
      <w:r>
        <w:rPr>
          <w:rFonts w:ascii="宋体" w:hAnsi="宋体"/>
          <w:b/>
          <w:spacing w:val="-6"/>
          <w:sz w:val="21"/>
          <w:szCs w:val="21"/>
        </w:rPr>
        <w:t>）</w:t>
      </w:r>
      <w:r>
        <w:rPr>
          <w:rFonts w:hint="eastAsia" w:ascii="宋体" w:hAnsi="宋体"/>
          <w:b/>
          <w:spacing w:val="-6"/>
          <w:sz w:val="21"/>
          <w:szCs w:val="21"/>
        </w:rPr>
        <w:t>加盖公章；</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2、 根据《财政部关于印发&lt;小企业会计准则&gt;的通知》（财会〔2011〕17号）的规定，小企业的财务报告包括资产负债表、利润表、现金流量表及其附注，可以不含所有者权益变动表及其附注；</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3、 成立一年内的公司可提交验资证明复印件加盖公章；</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4、 银行资信证明应能说明投标人与银行之间业务往来正常，企业信誉良好等，银行出具的存款证明不能替代银行资信证明。</w:t>
      </w:r>
    </w:p>
    <w:p>
      <w:pPr>
        <w:pStyle w:val="11"/>
        <w:spacing w:line="480" w:lineRule="auto"/>
        <w:ind w:firstLine="0"/>
        <w:jc w:val="left"/>
        <w:rPr>
          <w:rFonts w:hAnsi="宋体"/>
          <w:b/>
          <w:spacing w:val="-6"/>
          <w:sz w:val="24"/>
          <w:szCs w:val="24"/>
        </w:rPr>
      </w:pPr>
    </w:p>
    <w:p>
      <w:pPr>
        <w:pStyle w:val="11"/>
        <w:spacing w:line="480" w:lineRule="auto"/>
        <w:ind w:firstLine="0"/>
        <w:jc w:val="left"/>
        <w:rPr>
          <w:rFonts w:hAnsi="宋体"/>
          <w:b/>
          <w:spacing w:val="-6"/>
          <w:sz w:val="24"/>
          <w:szCs w:val="24"/>
        </w:rPr>
      </w:pPr>
      <w:r>
        <w:rPr>
          <w:rFonts w:hAnsi="宋体"/>
          <w:b/>
          <w:spacing w:val="-6"/>
          <w:sz w:val="24"/>
          <w:szCs w:val="24"/>
        </w:rPr>
        <w:br w:type="page"/>
      </w:r>
    </w:p>
    <w:p>
      <w:pPr>
        <w:pStyle w:val="11"/>
        <w:spacing w:line="480" w:lineRule="auto"/>
        <w:ind w:firstLine="0"/>
        <w:jc w:val="center"/>
        <w:rPr>
          <w:rFonts w:hAnsi="宋体"/>
          <w:b/>
          <w:spacing w:val="-6"/>
          <w:sz w:val="24"/>
          <w:szCs w:val="24"/>
        </w:rPr>
      </w:pPr>
      <w:r>
        <w:rPr>
          <w:rFonts w:hint="eastAsia" w:hAnsi="宋体"/>
          <w:b/>
          <w:spacing w:val="-6"/>
          <w:sz w:val="24"/>
          <w:szCs w:val="24"/>
        </w:rPr>
        <w:t>最近一个月依法缴纳税收的证明材料</w:t>
      </w:r>
      <w:r>
        <w:rPr>
          <w:rFonts w:hint="eastAsia" w:hAnsi="宋体"/>
          <w:spacing w:val="-6"/>
          <w:sz w:val="24"/>
          <w:szCs w:val="24"/>
        </w:rPr>
        <w:t>（依法免税的投标人，应提供相应文件证明其依法免税）</w:t>
      </w:r>
    </w:p>
    <w:p>
      <w:pPr>
        <w:pStyle w:val="19"/>
        <w:spacing w:line="360" w:lineRule="auto"/>
        <w:ind w:left="398" w:hanging="398"/>
        <w:rPr>
          <w:rFonts w:ascii="宋体" w:hAnsi="宋体"/>
          <w:b/>
          <w:spacing w:val="-6"/>
          <w:sz w:val="21"/>
          <w:szCs w:val="21"/>
        </w:rPr>
      </w:pPr>
    </w:p>
    <w:p>
      <w:pPr>
        <w:pStyle w:val="19"/>
        <w:spacing w:line="360" w:lineRule="auto"/>
        <w:ind w:left="398" w:hanging="398"/>
        <w:rPr>
          <w:rFonts w:ascii="宋体" w:hAnsi="宋体"/>
          <w:b/>
          <w:spacing w:val="-6"/>
          <w:sz w:val="21"/>
          <w:szCs w:val="21"/>
        </w:rPr>
      </w:pPr>
    </w:p>
    <w:p>
      <w:pPr>
        <w:pStyle w:val="19"/>
        <w:spacing w:line="360" w:lineRule="auto"/>
        <w:ind w:left="398" w:hanging="398"/>
        <w:rPr>
          <w:rFonts w:ascii="宋体" w:hAnsi="宋体"/>
          <w:b/>
          <w:spacing w:val="-6"/>
          <w:sz w:val="21"/>
          <w:szCs w:val="21"/>
        </w:rPr>
      </w:pPr>
    </w:p>
    <w:p>
      <w:pPr>
        <w:pStyle w:val="19"/>
        <w:spacing w:line="360" w:lineRule="auto"/>
        <w:ind w:left="398" w:hanging="398"/>
        <w:rPr>
          <w:rFonts w:ascii="宋体" w:hAnsi="宋体"/>
          <w:b/>
          <w:spacing w:val="-6"/>
          <w:sz w:val="21"/>
          <w:szCs w:val="21"/>
        </w:rPr>
      </w:pPr>
    </w:p>
    <w:p>
      <w:pPr>
        <w:pStyle w:val="19"/>
        <w:spacing w:line="360" w:lineRule="auto"/>
        <w:ind w:left="398" w:hanging="398"/>
        <w:rPr>
          <w:rFonts w:ascii="宋体" w:hAnsi="宋体"/>
          <w:b/>
          <w:spacing w:val="-6"/>
          <w:sz w:val="21"/>
          <w:szCs w:val="21"/>
        </w:rPr>
      </w:pPr>
    </w:p>
    <w:p>
      <w:pPr>
        <w:pStyle w:val="19"/>
        <w:spacing w:line="360" w:lineRule="auto"/>
        <w:ind w:left="398" w:hanging="398"/>
        <w:rPr>
          <w:rFonts w:ascii="宋体" w:hAnsi="宋体"/>
          <w:b/>
          <w:spacing w:val="-6"/>
          <w:sz w:val="21"/>
          <w:szCs w:val="21"/>
        </w:rPr>
      </w:pP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最近一个月依法缴纳税收的证明材料指投标人参加政府采购活动前最近一个月内依法缴纳税收的凭据（完税证明或银行电子缴税付款凭证等）；</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依法免税的投标人，应提供相应文件证明其依法免税；</w:t>
      </w:r>
    </w:p>
    <w:p>
      <w:pPr>
        <w:pStyle w:val="19"/>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投标人因新注册成立等原因无法提供相关材料的，应在投标文件中提交如实的情况说明。</w:t>
      </w:r>
    </w:p>
    <w:p>
      <w:pPr>
        <w:pStyle w:val="11"/>
        <w:spacing w:line="480" w:lineRule="auto"/>
        <w:ind w:firstLine="0"/>
        <w:jc w:val="center"/>
        <w:rPr>
          <w:rFonts w:hAnsi="宋体"/>
          <w:b/>
          <w:spacing w:val="-6"/>
          <w:sz w:val="24"/>
          <w:szCs w:val="24"/>
        </w:rPr>
      </w:pPr>
      <w:r>
        <w:rPr>
          <w:rFonts w:hAnsi="宋体"/>
          <w:b/>
          <w:spacing w:val="-6"/>
          <w:sz w:val="24"/>
          <w:szCs w:val="24"/>
        </w:rPr>
        <w:br w:type="page"/>
      </w:r>
    </w:p>
    <w:p>
      <w:pPr>
        <w:pStyle w:val="11"/>
        <w:spacing w:line="480" w:lineRule="auto"/>
        <w:ind w:firstLine="0"/>
        <w:jc w:val="center"/>
        <w:rPr>
          <w:rFonts w:hAnsi="宋体"/>
          <w:spacing w:val="-6"/>
          <w:sz w:val="24"/>
          <w:szCs w:val="24"/>
        </w:rPr>
      </w:pPr>
      <w:r>
        <w:rPr>
          <w:rFonts w:hint="eastAsia" w:hAnsi="宋体"/>
          <w:b/>
          <w:spacing w:val="-6"/>
          <w:sz w:val="24"/>
          <w:szCs w:val="24"/>
        </w:rPr>
        <w:t>最近一个月依法缴社会保障资金的证明材料</w:t>
      </w:r>
      <w:r>
        <w:rPr>
          <w:rFonts w:hint="eastAsia" w:hAnsi="宋体"/>
          <w:spacing w:val="-6"/>
          <w:sz w:val="24"/>
          <w:szCs w:val="24"/>
        </w:rPr>
        <w:t>（依法不需要缴纳社会保障资金的投标人，应提供相应文件证明其依法不需要缴纳社会保障资金）</w:t>
      </w:r>
    </w:p>
    <w:p>
      <w:pPr>
        <w:pStyle w:val="11"/>
        <w:spacing w:line="480" w:lineRule="auto"/>
        <w:ind w:firstLine="0"/>
        <w:jc w:val="center"/>
        <w:rPr>
          <w:rFonts w:hAnsi="宋体"/>
          <w:spacing w:val="-6"/>
          <w:sz w:val="24"/>
          <w:szCs w:val="24"/>
        </w:rPr>
      </w:pPr>
    </w:p>
    <w:p>
      <w:pPr>
        <w:pStyle w:val="11"/>
        <w:spacing w:line="480" w:lineRule="auto"/>
        <w:ind w:firstLine="0"/>
        <w:jc w:val="center"/>
        <w:rPr>
          <w:rFonts w:hAnsi="宋体"/>
          <w:spacing w:val="-6"/>
          <w:sz w:val="24"/>
          <w:szCs w:val="24"/>
        </w:rPr>
      </w:pPr>
    </w:p>
    <w:p>
      <w:pPr>
        <w:pStyle w:val="11"/>
        <w:spacing w:line="480" w:lineRule="auto"/>
        <w:ind w:firstLine="0"/>
        <w:jc w:val="center"/>
        <w:rPr>
          <w:rFonts w:hAnsi="宋体"/>
          <w:spacing w:val="-6"/>
          <w:sz w:val="24"/>
          <w:szCs w:val="24"/>
        </w:rPr>
      </w:pPr>
    </w:p>
    <w:p>
      <w:pPr>
        <w:pStyle w:val="11"/>
        <w:spacing w:line="480" w:lineRule="auto"/>
        <w:ind w:firstLine="0"/>
        <w:jc w:val="center"/>
        <w:rPr>
          <w:rFonts w:hAnsi="宋体"/>
          <w:spacing w:val="-6"/>
          <w:sz w:val="24"/>
          <w:szCs w:val="24"/>
        </w:rPr>
      </w:pP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最近一个月依法缴纳社会保障资金的证明材料指投标人参加政府采购活动前最近一个月内依法缴纳社会保险的凭据（社保缴费专用收据或银行电子缴税付款凭证或社会保险缴纳清单等）；</w:t>
      </w: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依法不需要缴纳社会保障资金的投标人，应提供相应文件证明其依法不需要缴纳社会保障资金；</w:t>
      </w:r>
    </w:p>
    <w:p>
      <w:pPr>
        <w:pStyle w:val="19"/>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投标人因新注册成立等原因无法提供相关材料的，应在投标文件中提交如实的情况说明。</w:t>
      </w:r>
    </w:p>
    <w:p>
      <w:pPr>
        <w:pStyle w:val="11"/>
        <w:spacing w:line="480" w:lineRule="auto"/>
        <w:ind w:firstLine="0"/>
        <w:jc w:val="center"/>
        <w:rPr>
          <w:rFonts w:hAnsi="宋体"/>
          <w:b/>
          <w:spacing w:val="-6"/>
          <w:sz w:val="24"/>
          <w:szCs w:val="24"/>
        </w:rPr>
      </w:pPr>
    </w:p>
    <w:p>
      <w:pPr>
        <w:widowControl/>
        <w:jc w:val="left"/>
        <w:rPr>
          <w:rFonts w:ascii="宋体" w:hAnsi="宋体"/>
          <w:b/>
          <w:spacing w:val="-6"/>
          <w:sz w:val="24"/>
        </w:rPr>
      </w:pPr>
      <w:r>
        <w:rPr>
          <w:rFonts w:ascii="宋体" w:hAnsi="宋体"/>
          <w:b/>
          <w:spacing w:val="-6"/>
          <w:sz w:val="24"/>
        </w:rPr>
        <w:br w:type="page"/>
      </w:r>
    </w:p>
    <w:p>
      <w:pPr>
        <w:pStyle w:val="19"/>
        <w:spacing w:line="360" w:lineRule="auto"/>
        <w:ind w:left="169" w:hanging="169" w:hangingChars="74"/>
        <w:jc w:val="center"/>
        <w:rPr>
          <w:rFonts w:ascii="宋体" w:hAnsi="宋体"/>
          <w:b/>
          <w:spacing w:val="-6"/>
          <w:sz w:val="24"/>
        </w:rPr>
      </w:pPr>
      <w:r>
        <w:rPr>
          <w:rFonts w:hint="eastAsia" w:ascii="宋体" w:hAnsi="宋体"/>
          <w:b/>
          <w:spacing w:val="-6"/>
          <w:sz w:val="24"/>
        </w:rPr>
        <w:t>参加政府采购活动前3年内在经营活动中没有重大违法记录的书面声明</w:t>
      </w:r>
    </w:p>
    <w:p>
      <w:pPr>
        <w:pStyle w:val="19"/>
        <w:spacing w:line="360" w:lineRule="auto"/>
        <w:ind w:left="169" w:hanging="169" w:hangingChars="74"/>
        <w:rPr>
          <w:rFonts w:ascii="宋体" w:hAnsi="宋体"/>
          <w:b/>
          <w:spacing w:val="-6"/>
          <w:sz w:val="24"/>
        </w:rPr>
      </w:pPr>
    </w:p>
    <w:p>
      <w:pPr>
        <w:pStyle w:val="19"/>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pStyle w:val="19"/>
        <w:spacing w:line="360" w:lineRule="auto"/>
        <w:ind w:left="169" w:hanging="169" w:hangingChars="74"/>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致：中国美术学院、杭州求是招标代理有限公司：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9"/>
        <w:spacing w:line="360" w:lineRule="auto"/>
        <w:ind w:left="0" w:firstLine="0" w:firstLineChars="0"/>
        <w:rPr>
          <w:rFonts w:ascii="宋体" w:hAnsi="宋体"/>
          <w:b/>
          <w:spacing w:val="-6"/>
          <w:sz w:val="24"/>
        </w:rPr>
      </w:pPr>
    </w:p>
    <w:p>
      <w:pPr>
        <w:widowControl/>
        <w:jc w:val="left"/>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hint="eastAsia" w:ascii="宋体" w:hAnsi="宋体"/>
          <w:b/>
          <w:spacing w:val="-6"/>
          <w:sz w:val="24"/>
        </w:rPr>
        <w:t>投标人同类项目实施情况一览表</w:t>
      </w:r>
    </w:p>
    <w:p>
      <w:pPr>
        <w:pStyle w:val="19"/>
        <w:spacing w:line="360" w:lineRule="auto"/>
        <w:ind w:left="480" w:hanging="480"/>
        <w:rPr>
          <w:rFonts w:ascii="宋体" w:hAnsi="宋体"/>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19"/>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1、投标人须提供上述业绩合同复印件；</w:t>
      </w:r>
    </w:p>
    <w:p>
      <w:pPr>
        <w:spacing w:line="360" w:lineRule="auto"/>
        <w:rPr>
          <w:rFonts w:ascii="宋体" w:hAnsi="宋体"/>
          <w:b/>
          <w:spacing w:val="-6"/>
          <w:sz w:val="24"/>
        </w:rPr>
      </w:pPr>
      <w:r>
        <w:rPr>
          <w:rFonts w:hint="eastAsia" w:ascii="宋体" w:hAnsi="宋体"/>
          <w:b/>
          <w:spacing w:val="-6"/>
          <w:sz w:val="24"/>
        </w:rPr>
        <w:t>2、所有合同复印件应清晰，应能体现合同签订时间、双方签字盖章等内容；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r>
        <w:rPr>
          <w:rFonts w:hint="eastAsia" w:ascii="宋体" w:hAnsi="宋体"/>
          <w:spacing w:val="-6"/>
          <w:sz w:val="24"/>
        </w:rPr>
        <w:br w:type="page"/>
      </w:r>
    </w:p>
    <w:p>
      <w:pPr>
        <w:spacing w:line="360" w:lineRule="auto"/>
        <w:jc w:val="center"/>
        <w:rPr>
          <w:rFonts w:ascii="宋体" w:hAnsi="宋体"/>
          <w:b/>
          <w:sz w:val="24"/>
        </w:rPr>
      </w:pPr>
      <w:r>
        <w:rPr>
          <w:rFonts w:hint="eastAsia" w:ascii="宋体" w:hAnsi="宋体"/>
          <w:b/>
          <w:sz w:val="24"/>
        </w:rPr>
        <w:t>投标人需要说明的其他文件和材料</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b/>
          <w:sz w:val="24"/>
        </w:rPr>
      </w:pPr>
      <w:r>
        <w:rPr>
          <w:rFonts w:hint="eastAsia" w:ascii="宋体" w:hAnsi="宋体"/>
          <w:b/>
          <w:sz w:val="24"/>
        </w:rPr>
        <w:t>说明:包括</w:t>
      </w:r>
      <w:r>
        <w:rPr>
          <w:rFonts w:ascii="宋体" w:hAnsi="宋体"/>
          <w:b/>
          <w:sz w:val="24"/>
        </w:rPr>
        <w:t>但不仅</w:t>
      </w:r>
      <w:r>
        <w:rPr>
          <w:rFonts w:hint="eastAsia" w:ascii="宋体" w:hAnsi="宋体"/>
          <w:b/>
          <w:sz w:val="24"/>
        </w:rPr>
        <w:t>限于投标人有效</w:t>
      </w:r>
      <w:r>
        <w:rPr>
          <w:rFonts w:ascii="宋体" w:hAnsi="宋体"/>
          <w:b/>
          <w:sz w:val="24"/>
        </w:rPr>
        <w:t>期</w:t>
      </w:r>
      <w:r>
        <w:rPr>
          <w:rFonts w:hint="eastAsia" w:ascii="宋体" w:hAnsi="宋体"/>
          <w:b/>
          <w:sz w:val="24"/>
        </w:rPr>
        <w:t>内</w:t>
      </w:r>
      <w:r>
        <w:rPr>
          <w:rFonts w:ascii="宋体" w:hAnsi="宋体"/>
          <w:b/>
          <w:sz w:val="24"/>
        </w:rPr>
        <w:t>的</w:t>
      </w:r>
      <w:r>
        <w:rPr>
          <w:rFonts w:hint="eastAsia" w:ascii="宋体" w:hAnsi="宋体"/>
          <w:b/>
          <w:sz w:val="24"/>
        </w:rPr>
        <w:t>报表系统产品软件著作权证书、综合数据应用平台软件著作权证书、投标产品制造商的ISO9001质量管理体系认证书、高新技术企业证书等。</w:t>
      </w:r>
    </w:p>
    <w:p>
      <w:pPr>
        <w:spacing w:line="360" w:lineRule="auto"/>
        <w:jc w:val="center"/>
        <w:rPr>
          <w:rFonts w:ascii="宋体" w:hAnsi="宋体"/>
          <w:b/>
          <w:sz w:val="52"/>
          <w:szCs w:val="52"/>
        </w:rPr>
      </w:pPr>
      <w:r>
        <w:rPr>
          <w:rFonts w:ascii="宋体" w:hAnsi="宋体"/>
          <w:sz w:val="24"/>
        </w:rPr>
        <w:br w:type="page"/>
      </w:r>
      <w:r>
        <w:rPr>
          <w:rFonts w:hint="eastAsia" w:ascii="宋体" w:hAnsi="宋体"/>
          <w:b/>
          <w:sz w:val="52"/>
          <w:szCs w:val="52"/>
        </w:rPr>
        <w:t>技术文件</w:t>
      </w:r>
    </w:p>
    <w:p>
      <w:pPr>
        <w:spacing w:line="360" w:lineRule="auto"/>
        <w:rPr>
          <w:rFonts w:ascii="宋体" w:hAnsi="宋体"/>
          <w:sz w:val="24"/>
        </w:rPr>
      </w:pPr>
    </w:p>
    <w:p>
      <w:pPr>
        <w:spacing w:line="288" w:lineRule="auto"/>
        <w:jc w:val="center"/>
        <w:rPr>
          <w:rFonts w:ascii="宋体" w:hAnsi="宋体"/>
          <w:b/>
          <w:bCs/>
          <w:iCs/>
          <w:spacing w:val="-6"/>
          <w:sz w:val="24"/>
        </w:rPr>
      </w:pPr>
      <w:r>
        <w:rPr>
          <w:rFonts w:hint="eastAsia" w:ascii="宋体" w:hAnsi="宋体"/>
          <w:b/>
          <w:bCs/>
          <w:iCs/>
          <w:spacing w:val="-6"/>
          <w:sz w:val="24"/>
        </w:rPr>
        <w:t>技术偏离表</w:t>
      </w:r>
    </w:p>
    <w:p>
      <w:pPr>
        <w:spacing w:line="288" w:lineRule="auto"/>
        <w:rPr>
          <w:rFonts w:ascii="宋体" w:hAnsi="宋体"/>
          <w:spacing w:val="-6"/>
          <w:sz w:val="24"/>
        </w:rPr>
      </w:pPr>
      <w:r>
        <w:rPr>
          <w:rFonts w:hint="eastAsia" w:ascii="宋体" w:hAnsi="宋体"/>
          <w:bCs/>
          <w:spacing w:val="-6"/>
          <w:sz w:val="24"/>
        </w:rPr>
        <w:t>项目名称：中国美术学院网络中心表格自助生成系统</w:t>
      </w:r>
    </w:p>
    <w:p>
      <w:pPr>
        <w:spacing w:line="288" w:lineRule="auto"/>
        <w:rPr>
          <w:rFonts w:ascii="宋体" w:hAnsi="宋体"/>
          <w:bCs/>
          <w:spacing w:val="-6"/>
          <w:sz w:val="24"/>
        </w:rPr>
      </w:pPr>
      <w:r>
        <w:rPr>
          <w:rFonts w:hint="eastAsia" w:ascii="宋体" w:hAnsi="宋体"/>
          <w:bCs/>
          <w:spacing w:val="-6"/>
          <w:sz w:val="24"/>
        </w:rPr>
        <w:t>项目编号：QSZB-H-C17123MYZ</w:t>
      </w: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spacing w:line="288" w:lineRule="auto"/>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spacing w:line="288" w:lineRule="auto"/>
              <w:jc w:val="center"/>
              <w:rPr>
                <w:rFonts w:ascii="宋体" w:hAnsi="宋体"/>
                <w:b/>
                <w:spacing w:val="-6"/>
                <w:sz w:val="24"/>
              </w:rPr>
            </w:pPr>
            <w:r>
              <w:rPr>
                <w:rFonts w:hint="eastAsia" w:ascii="宋体" w:hAnsi="宋体"/>
                <w:b/>
                <w:spacing w:val="-6"/>
                <w:sz w:val="24"/>
              </w:rPr>
              <w:t>响应规格</w:t>
            </w:r>
          </w:p>
        </w:tc>
        <w:tc>
          <w:tcPr>
            <w:tcW w:w="2127" w:type="dxa"/>
            <w:vAlign w:val="center"/>
          </w:tcPr>
          <w:p>
            <w:pPr>
              <w:snapToGrid w:val="0"/>
              <w:spacing w:line="288" w:lineRule="auto"/>
              <w:jc w:val="center"/>
              <w:rPr>
                <w:rFonts w:ascii="宋体" w:hAnsi="宋体"/>
                <w:b/>
                <w:spacing w:val="-6"/>
                <w:sz w:val="24"/>
              </w:rPr>
            </w:pPr>
            <w:r>
              <w:rPr>
                <w:rFonts w:hint="eastAsia" w:ascii="宋体" w:hAnsi="宋体"/>
                <w:b/>
                <w:spacing w:val="-6"/>
                <w:sz w:val="24"/>
              </w:rPr>
              <w:t>是否偏离</w:t>
            </w:r>
          </w:p>
          <w:p>
            <w:pPr>
              <w:snapToGrid w:val="0"/>
              <w:spacing w:line="288" w:lineRule="auto"/>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bl>
    <w:p>
      <w:pPr>
        <w:spacing w:line="288" w:lineRule="auto"/>
        <w:rPr>
          <w:rFonts w:ascii="宋体" w:hAnsi="宋体"/>
          <w:b/>
          <w:bCs/>
          <w:spacing w:val="-6"/>
          <w:sz w:val="24"/>
        </w:rPr>
      </w:pPr>
    </w:p>
    <w:p>
      <w:pPr>
        <w:spacing w:line="288" w:lineRule="auto"/>
        <w:rPr>
          <w:rFonts w:ascii="宋体" w:hAnsi="宋体"/>
          <w:b/>
          <w:bCs/>
          <w:spacing w:val="-6"/>
          <w:sz w:val="24"/>
        </w:rPr>
      </w:pPr>
      <w:r>
        <w:rPr>
          <w:rFonts w:hint="eastAsia" w:ascii="宋体" w:hAnsi="宋体"/>
          <w:b/>
          <w:bCs/>
          <w:spacing w:val="-6"/>
          <w:sz w:val="24"/>
        </w:rPr>
        <w:t>说明：</w:t>
      </w:r>
    </w:p>
    <w:p>
      <w:pPr>
        <w:spacing w:line="288" w:lineRule="auto"/>
        <w:rPr>
          <w:rFonts w:ascii="宋体" w:hAnsi="宋体"/>
          <w:b/>
          <w:bCs/>
          <w:spacing w:val="-6"/>
          <w:sz w:val="24"/>
        </w:rPr>
      </w:pPr>
      <w:r>
        <w:rPr>
          <w:rFonts w:hint="eastAsia" w:ascii="宋体" w:hAnsi="宋体"/>
          <w:b/>
          <w:bCs/>
          <w:spacing w:val="-6"/>
          <w:sz w:val="24"/>
        </w:rPr>
        <w:t>1、逐项按照招标文件要求填写响应规格；</w:t>
      </w:r>
    </w:p>
    <w:p>
      <w:pPr>
        <w:spacing w:line="288" w:lineRule="auto"/>
        <w:rPr>
          <w:rFonts w:ascii="宋体" w:hAnsi="宋体"/>
          <w:b/>
          <w:bCs/>
          <w:spacing w:val="-6"/>
          <w:sz w:val="24"/>
        </w:rPr>
      </w:pPr>
      <w:r>
        <w:rPr>
          <w:rFonts w:hint="eastAsia" w:ascii="宋体" w:hAnsi="宋体"/>
          <w:b/>
          <w:bCs/>
          <w:spacing w:val="-6"/>
          <w:sz w:val="24"/>
        </w:rPr>
        <w:t>2、偏离说明是指对招标文件要求存在不同之处的解释说明。偏离系指：正偏离（高于招标要求）、负偏离（低于招标要求）、无偏离（满足招标要求）；</w:t>
      </w:r>
    </w:p>
    <w:p>
      <w:pPr>
        <w:spacing w:line="288" w:lineRule="auto"/>
        <w:rPr>
          <w:rFonts w:ascii="宋体" w:hAnsi="宋体"/>
          <w:b/>
          <w:spacing w:val="-6"/>
          <w:sz w:val="24"/>
        </w:rPr>
      </w:pPr>
      <w:r>
        <w:rPr>
          <w:rFonts w:hint="eastAsia" w:ascii="宋体" w:hAnsi="宋体"/>
          <w:b/>
          <w:bCs/>
          <w:spacing w:val="-6"/>
          <w:sz w:val="24"/>
        </w:rPr>
        <w:t>3、如不填写或填写不全或未如实填写</w:t>
      </w:r>
      <w:r>
        <w:rPr>
          <w:rFonts w:hint="eastAsia" w:ascii="宋体" w:hAnsi="宋体"/>
          <w:b/>
          <w:spacing w:val="-6"/>
          <w:sz w:val="24"/>
        </w:rPr>
        <w:t>，自行承担投标风险。</w:t>
      </w: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 xml:space="preserve">投标人名称（盖章）： </w:t>
      </w:r>
    </w:p>
    <w:p>
      <w:pPr>
        <w:spacing w:line="288" w:lineRule="auto"/>
        <w:rPr>
          <w:rFonts w:ascii="宋体" w:hAnsi="宋体"/>
          <w:spacing w:val="-6"/>
          <w:sz w:val="24"/>
        </w:rPr>
      </w:pPr>
      <w:r>
        <w:rPr>
          <w:rFonts w:hint="eastAsia" w:ascii="宋体" w:hAnsi="宋体"/>
          <w:spacing w:val="-6"/>
          <w:sz w:val="24"/>
        </w:rPr>
        <w:t>授权代表签字：</w:t>
      </w:r>
    </w:p>
    <w:p>
      <w:pPr>
        <w:spacing w:line="288" w:lineRule="auto"/>
        <w:rPr>
          <w:rFonts w:ascii="宋体" w:hAnsi="宋体"/>
          <w:spacing w:val="-6"/>
          <w:sz w:val="24"/>
        </w:rPr>
      </w:pPr>
      <w:r>
        <w:rPr>
          <w:rFonts w:hint="eastAsia" w:ascii="宋体" w:hAnsi="宋体"/>
          <w:spacing w:val="-6"/>
          <w:sz w:val="24"/>
        </w:rPr>
        <w:t>日期：  年  月  日</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rPr>
          <w:rFonts w:ascii="宋体" w:hAnsi="宋体"/>
          <w:b/>
          <w:spacing w:val="-6"/>
          <w:sz w:val="24"/>
        </w:rPr>
      </w:pPr>
      <w:r>
        <w:rPr>
          <w:rFonts w:hint="eastAsia" w:ascii="宋体" w:hAnsi="宋体"/>
          <w:b/>
          <w:spacing w:val="-6"/>
          <w:sz w:val="24"/>
        </w:rPr>
        <w:t>投标方案（可根据评分细则编写格式自拟）</w:t>
      </w:r>
    </w:p>
    <w:p>
      <w:pPr>
        <w:spacing w:line="288" w:lineRule="auto"/>
        <w:jc w:val="center"/>
        <w:rPr>
          <w:rFonts w:ascii="宋体" w:hAnsi="宋体"/>
          <w:b/>
          <w:spacing w:val="-6"/>
          <w:sz w:val="24"/>
        </w:rPr>
      </w:pPr>
      <w:r>
        <w:rPr>
          <w:rFonts w:hint="eastAsia" w:ascii="宋体" w:hAnsi="宋体"/>
          <w:b/>
          <w:spacing w:val="-6"/>
          <w:sz w:val="24"/>
        </w:rPr>
        <w:br w:type="page"/>
      </w:r>
    </w:p>
    <w:p>
      <w:pPr>
        <w:spacing w:line="288" w:lineRule="auto"/>
        <w:jc w:val="center"/>
        <w:rPr>
          <w:rFonts w:ascii="宋体" w:hAnsi="宋体"/>
          <w:b/>
          <w:spacing w:val="-6"/>
          <w:sz w:val="24"/>
        </w:rPr>
      </w:pPr>
      <w:r>
        <w:rPr>
          <w:rFonts w:hint="eastAsia" w:ascii="宋体" w:hAnsi="宋体"/>
          <w:b/>
          <w:spacing w:val="-6"/>
          <w:sz w:val="24"/>
        </w:rPr>
        <w:t>项目</w:t>
      </w:r>
      <w:r>
        <w:rPr>
          <w:rFonts w:ascii="宋体" w:hAnsi="宋体"/>
          <w:b/>
          <w:spacing w:val="-6"/>
          <w:sz w:val="24"/>
        </w:rPr>
        <w:t>实施方案</w:t>
      </w:r>
      <w:r>
        <w:rPr>
          <w:rFonts w:hint="eastAsia" w:ascii="宋体" w:hAnsi="宋体"/>
          <w:b/>
          <w:spacing w:val="-6"/>
          <w:sz w:val="24"/>
        </w:rPr>
        <w:t>（</w:t>
      </w:r>
      <w:r>
        <w:rPr>
          <w:rFonts w:ascii="宋体" w:hAnsi="宋体"/>
          <w:b/>
          <w:spacing w:val="-6"/>
          <w:sz w:val="24"/>
        </w:rPr>
        <w:t>可</w:t>
      </w:r>
      <w:r>
        <w:rPr>
          <w:rFonts w:hint="eastAsia" w:ascii="宋体" w:hAnsi="宋体"/>
          <w:b/>
          <w:spacing w:val="-6"/>
          <w:sz w:val="24"/>
        </w:rPr>
        <w:t>根据</w:t>
      </w:r>
      <w:r>
        <w:rPr>
          <w:rFonts w:ascii="宋体" w:hAnsi="宋体"/>
          <w:b/>
          <w:spacing w:val="-6"/>
          <w:sz w:val="24"/>
        </w:rPr>
        <w:t>评分细则编写格式自拟）</w:t>
      </w:r>
    </w:p>
    <w:p>
      <w:pPr>
        <w:spacing w:line="288" w:lineRule="auto"/>
        <w:jc w:val="center"/>
        <w:rPr>
          <w:rFonts w:ascii="宋体" w:hAnsi="宋体"/>
          <w:b/>
          <w:spacing w:val="-6"/>
          <w:sz w:val="24"/>
        </w:rPr>
      </w:pPr>
      <w:r>
        <w:rPr>
          <w:rFonts w:ascii="宋体" w:hAnsi="宋体"/>
          <w:b/>
          <w:spacing w:val="-6"/>
          <w:sz w:val="24"/>
        </w:rPr>
        <w:br w:type="page"/>
      </w:r>
    </w:p>
    <w:p>
      <w:pPr>
        <w:spacing w:line="288" w:lineRule="auto"/>
        <w:jc w:val="center"/>
        <w:rPr>
          <w:rFonts w:ascii="宋体" w:hAnsi="宋体"/>
          <w:b/>
          <w:spacing w:val="-6"/>
          <w:sz w:val="24"/>
        </w:rPr>
      </w:pPr>
      <w:r>
        <w:rPr>
          <w:rFonts w:hint="eastAsia" w:ascii="宋体" w:hAnsi="宋体"/>
          <w:b/>
          <w:spacing w:val="-6"/>
          <w:sz w:val="24"/>
        </w:rPr>
        <w:t>拟投入</w:t>
      </w:r>
      <w:r>
        <w:rPr>
          <w:rFonts w:ascii="宋体" w:hAnsi="宋体"/>
          <w:b/>
          <w:spacing w:val="-6"/>
          <w:sz w:val="24"/>
        </w:rPr>
        <w:t>项目人员</w:t>
      </w:r>
      <w:r>
        <w:rPr>
          <w:rFonts w:hint="eastAsia" w:ascii="宋体" w:hAnsi="宋体"/>
          <w:b/>
          <w:spacing w:val="-6"/>
          <w:sz w:val="24"/>
        </w:rPr>
        <w:t>一览表</w:t>
      </w:r>
    </w:p>
    <w:p>
      <w:pPr>
        <w:spacing w:line="288" w:lineRule="auto"/>
        <w:jc w:val="center"/>
        <w:rPr>
          <w:rFonts w:ascii="宋体" w:hAnsi="宋体"/>
          <w:b/>
          <w:spacing w:val="-6"/>
          <w:sz w:val="24"/>
        </w:rPr>
      </w:pPr>
    </w:p>
    <w:tbl>
      <w:tblPr>
        <w:tblStyle w:val="28"/>
        <w:tblW w:w="9510" w:type="dxa"/>
        <w:tblInd w:w="108" w:type="dxa"/>
        <w:tblLayout w:type="fixed"/>
        <w:tblCellMar>
          <w:top w:w="0" w:type="dxa"/>
          <w:left w:w="108" w:type="dxa"/>
          <w:bottom w:w="0" w:type="dxa"/>
          <w:right w:w="108" w:type="dxa"/>
        </w:tblCellMar>
      </w:tblPr>
      <w:tblGrid>
        <w:gridCol w:w="709"/>
        <w:gridCol w:w="809"/>
        <w:gridCol w:w="750"/>
        <w:gridCol w:w="851"/>
        <w:gridCol w:w="956"/>
        <w:gridCol w:w="1170"/>
        <w:gridCol w:w="992"/>
        <w:gridCol w:w="1985"/>
        <w:gridCol w:w="1288"/>
      </w:tblGrid>
      <w:tr>
        <w:tblPrEx>
          <w:tblLayout w:type="fixed"/>
          <w:tblCellMar>
            <w:top w:w="0" w:type="dxa"/>
            <w:left w:w="108" w:type="dxa"/>
            <w:bottom w:w="0" w:type="dxa"/>
            <w:right w:w="108" w:type="dxa"/>
          </w:tblCellMar>
        </w:tblPrEx>
        <w:trPr>
          <w:trHeight w:val="627" w:hRule="atLeast"/>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序号</w:t>
            </w:r>
          </w:p>
        </w:tc>
        <w:tc>
          <w:tcPr>
            <w:tcW w:w="8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姓名</w:t>
            </w:r>
          </w:p>
        </w:tc>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性别</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年龄</w:t>
            </w:r>
          </w:p>
        </w:tc>
        <w:tc>
          <w:tcPr>
            <w:tcW w:w="9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学历</w:t>
            </w:r>
          </w:p>
          <w:p>
            <w:pPr>
              <w:autoSpaceDE w:val="0"/>
              <w:autoSpaceDN w:val="0"/>
              <w:spacing w:line="360" w:lineRule="auto"/>
              <w:jc w:val="center"/>
              <w:rPr>
                <w:rFonts w:ascii="宋体" w:hAnsi="宋体"/>
                <w:b/>
                <w:sz w:val="21"/>
                <w:szCs w:val="21"/>
              </w:rPr>
            </w:pPr>
            <w:r>
              <w:rPr>
                <w:rFonts w:hint="eastAsia" w:ascii="宋体" w:hAnsi="宋体"/>
                <w:b/>
                <w:sz w:val="21"/>
                <w:szCs w:val="21"/>
              </w:rPr>
              <w:t>(页码)</w:t>
            </w:r>
          </w:p>
        </w:tc>
        <w:tc>
          <w:tcPr>
            <w:tcW w:w="11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专业</w:t>
            </w:r>
          </w:p>
          <w:p>
            <w:pPr>
              <w:autoSpaceDE w:val="0"/>
              <w:autoSpaceDN w:val="0"/>
              <w:spacing w:line="360" w:lineRule="auto"/>
              <w:jc w:val="center"/>
              <w:rPr>
                <w:rFonts w:ascii="宋体" w:hAnsi="宋体"/>
                <w:b/>
                <w:sz w:val="21"/>
                <w:szCs w:val="21"/>
              </w:rPr>
            </w:pPr>
            <w:r>
              <w:rPr>
                <w:rFonts w:hint="eastAsia" w:ascii="宋体" w:hAnsi="宋体"/>
                <w:b/>
                <w:sz w:val="21"/>
                <w:szCs w:val="21"/>
              </w:rPr>
              <w:t>(页码)</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职称</w:t>
            </w:r>
          </w:p>
          <w:p>
            <w:pPr>
              <w:autoSpaceDE w:val="0"/>
              <w:autoSpaceDN w:val="0"/>
              <w:spacing w:line="360" w:lineRule="auto"/>
              <w:jc w:val="center"/>
              <w:rPr>
                <w:rFonts w:ascii="宋体" w:hAnsi="宋体"/>
                <w:b/>
                <w:sz w:val="21"/>
                <w:szCs w:val="21"/>
              </w:rPr>
            </w:pPr>
            <w:r>
              <w:rPr>
                <w:rFonts w:hint="eastAsia" w:ascii="宋体" w:hAnsi="宋体"/>
                <w:b/>
                <w:sz w:val="21"/>
                <w:szCs w:val="21"/>
              </w:rPr>
              <w:t>(页码)</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本项目中的职责</w:t>
            </w:r>
          </w:p>
        </w:tc>
        <w:tc>
          <w:tcPr>
            <w:tcW w:w="12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b/>
                <w:sz w:val="21"/>
                <w:szCs w:val="21"/>
              </w:rPr>
            </w:pPr>
            <w:r>
              <w:rPr>
                <w:rFonts w:hint="eastAsia" w:ascii="宋体" w:hAnsi="宋体"/>
                <w:b/>
                <w:sz w:val="21"/>
                <w:szCs w:val="21"/>
              </w:rPr>
              <w:t>项目经历</w:t>
            </w:r>
          </w:p>
        </w:tc>
      </w:tr>
      <w:tr>
        <w:tblPrEx>
          <w:tblLayout w:type="fixed"/>
          <w:tblCellMar>
            <w:top w:w="0" w:type="dxa"/>
            <w:left w:w="108" w:type="dxa"/>
            <w:bottom w:w="0" w:type="dxa"/>
            <w:right w:w="108" w:type="dxa"/>
          </w:tblCellMar>
        </w:tblPrEx>
        <w:trPr>
          <w:trHeight w:val="320"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sz w:val="21"/>
                <w:szCs w:val="21"/>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2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r>
      <w:tr>
        <w:tblPrEx>
          <w:tblLayout w:type="fixed"/>
          <w:tblCellMar>
            <w:top w:w="0" w:type="dxa"/>
            <w:left w:w="108" w:type="dxa"/>
            <w:bottom w:w="0" w:type="dxa"/>
            <w:right w:w="108" w:type="dxa"/>
          </w:tblCellMar>
        </w:tblPrEx>
        <w:trPr>
          <w:trHeight w:val="316"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sz w:val="21"/>
                <w:szCs w:val="21"/>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2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r>
      <w:tr>
        <w:tblPrEx>
          <w:tblLayout w:type="fixed"/>
          <w:tblCellMar>
            <w:top w:w="0" w:type="dxa"/>
            <w:left w:w="108" w:type="dxa"/>
            <w:bottom w:w="0" w:type="dxa"/>
            <w:right w:w="108" w:type="dxa"/>
          </w:tblCellMar>
        </w:tblPrEx>
        <w:trPr>
          <w:trHeight w:val="316"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sz w:val="21"/>
                <w:szCs w:val="21"/>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2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r>
      <w:tr>
        <w:tblPrEx>
          <w:tblLayout w:type="fixed"/>
          <w:tblCellMar>
            <w:top w:w="0" w:type="dxa"/>
            <w:left w:w="108" w:type="dxa"/>
            <w:bottom w:w="0" w:type="dxa"/>
            <w:right w:w="108" w:type="dxa"/>
          </w:tblCellMar>
        </w:tblPrEx>
        <w:trPr>
          <w:trHeight w:val="316"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sz w:val="21"/>
                <w:szCs w:val="21"/>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2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r>
      <w:tr>
        <w:tblPrEx>
          <w:tblLayout w:type="fixed"/>
          <w:tblCellMar>
            <w:top w:w="0" w:type="dxa"/>
            <w:left w:w="108" w:type="dxa"/>
            <w:bottom w:w="0" w:type="dxa"/>
            <w:right w:w="108" w:type="dxa"/>
          </w:tblCellMar>
        </w:tblPrEx>
        <w:trPr>
          <w:trHeight w:val="316"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sz w:val="21"/>
                <w:szCs w:val="21"/>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2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r>
      <w:tr>
        <w:tblPrEx>
          <w:tblLayout w:type="fixed"/>
          <w:tblCellMar>
            <w:top w:w="0" w:type="dxa"/>
            <w:left w:w="108" w:type="dxa"/>
            <w:bottom w:w="0" w:type="dxa"/>
            <w:right w:w="108" w:type="dxa"/>
          </w:tblCellMar>
        </w:tblPrEx>
        <w:trPr>
          <w:trHeight w:val="316"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sz w:val="21"/>
                <w:szCs w:val="21"/>
              </w:rPr>
            </w:pPr>
          </w:p>
        </w:tc>
        <w:tc>
          <w:tcPr>
            <w:tcW w:w="8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7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1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c>
          <w:tcPr>
            <w:tcW w:w="12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sz w:val="21"/>
                <w:szCs w:val="21"/>
              </w:rPr>
            </w:pPr>
          </w:p>
        </w:tc>
      </w:tr>
    </w:tbl>
    <w:p>
      <w:pPr>
        <w:spacing w:line="360" w:lineRule="auto"/>
        <w:rPr>
          <w:rFonts w:ascii="宋体" w:hAnsi="宋体"/>
          <w:b/>
          <w:bCs/>
          <w:sz w:val="21"/>
          <w:szCs w:val="21"/>
        </w:rPr>
      </w:pPr>
      <w:r>
        <w:rPr>
          <w:rFonts w:hint="eastAsia" w:ascii="宋体" w:hAnsi="宋体"/>
          <w:b/>
          <w:sz w:val="21"/>
          <w:szCs w:val="21"/>
        </w:rPr>
        <w:t>注：投标人可按上述的格式自行编制，随表提交相应的证书复印件并注明所在投标技术文件页码。</w:t>
      </w:r>
    </w:p>
    <w:p>
      <w:pPr>
        <w:spacing w:line="288" w:lineRule="auto"/>
        <w:jc w:val="center"/>
        <w:rPr>
          <w:rFonts w:ascii="宋体" w:hAnsi="宋体"/>
          <w:b/>
          <w:spacing w:val="-6"/>
          <w:sz w:val="24"/>
        </w:rPr>
      </w:pPr>
    </w:p>
    <w:p>
      <w:pPr>
        <w:spacing w:line="288" w:lineRule="auto"/>
        <w:jc w:val="center"/>
        <w:rPr>
          <w:rFonts w:ascii="宋体" w:hAnsi="宋体"/>
          <w:b/>
          <w:spacing w:val="-6"/>
          <w:sz w:val="24"/>
        </w:rPr>
      </w:pPr>
    </w:p>
    <w:p>
      <w:pPr>
        <w:spacing w:line="288" w:lineRule="auto"/>
        <w:jc w:val="center"/>
        <w:rPr>
          <w:rFonts w:ascii="宋体" w:hAnsi="宋体"/>
          <w:b/>
          <w:spacing w:val="-6"/>
          <w:sz w:val="24"/>
        </w:rPr>
      </w:pPr>
    </w:p>
    <w:p>
      <w:pPr>
        <w:spacing w:line="288" w:lineRule="auto"/>
        <w:jc w:val="center"/>
        <w:rPr>
          <w:rFonts w:ascii="宋体" w:hAnsi="宋体"/>
          <w:b/>
          <w:spacing w:val="-6"/>
          <w:sz w:val="24"/>
        </w:rPr>
      </w:pPr>
    </w:p>
    <w:p>
      <w:pPr>
        <w:spacing w:line="288" w:lineRule="auto"/>
        <w:jc w:val="center"/>
        <w:rPr>
          <w:rFonts w:ascii="宋体" w:hAnsi="宋体"/>
          <w:b/>
          <w:spacing w:val="-6"/>
          <w:sz w:val="24"/>
        </w:rPr>
      </w:pPr>
    </w:p>
    <w:p>
      <w:pPr>
        <w:spacing w:line="288" w:lineRule="auto"/>
        <w:rPr>
          <w:rFonts w:ascii="宋体" w:hAnsi="宋体"/>
          <w:spacing w:val="-6"/>
          <w:sz w:val="24"/>
        </w:rPr>
      </w:pPr>
      <w:r>
        <w:rPr>
          <w:rFonts w:hint="eastAsia" w:ascii="宋体" w:hAnsi="宋体"/>
          <w:spacing w:val="-6"/>
          <w:sz w:val="24"/>
        </w:rPr>
        <w:t>投标人名称（盖章）：</w:t>
      </w:r>
    </w:p>
    <w:p>
      <w:pPr>
        <w:spacing w:line="288" w:lineRule="auto"/>
        <w:rPr>
          <w:rFonts w:ascii="宋体" w:hAnsi="宋体"/>
          <w:spacing w:val="-6"/>
          <w:sz w:val="24"/>
        </w:rPr>
      </w:pPr>
      <w:r>
        <w:rPr>
          <w:rFonts w:hint="eastAsia" w:ascii="宋体" w:hAnsi="宋体"/>
          <w:spacing w:val="-6"/>
          <w:sz w:val="24"/>
        </w:rPr>
        <w:t>授权代表签字：</w:t>
      </w:r>
    </w:p>
    <w:p>
      <w:pPr>
        <w:spacing w:line="288" w:lineRule="auto"/>
        <w:rPr>
          <w:rFonts w:ascii="宋体" w:hAnsi="宋体"/>
          <w:spacing w:val="-6"/>
          <w:sz w:val="24"/>
        </w:rPr>
      </w:pPr>
      <w:r>
        <w:rPr>
          <w:rFonts w:hint="eastAsia" w:ascii="宋体" w:hAnsi="宋体"/>
          <w:spacing w:val="-6"/>
          <w:sz w:val="24"/>
        </w:rPr>
        <w:t>日期：  年  月  日</w:t>
      </w:r>
    </w:p>
    <w:p>
      <w:pPr>
        <w:spacing w:line="288" w:lineRule="auto"/>
        <w:rPr>
          <w:rFonts w:ascii="宋体" w:hAnsi="宋体"/>
          <w:b/>
          <w:spacing w:val="-6"/>
          <w:sz w:val="24"/>
        </w:rPr>
      </w:pPr>
      <w:r>
        <w:rPr>
          <w:rFonts w:hint="eastAsia" w:ascii="宋体" w:hAnsi="宋体"/>
          <w:spacing w:val="-6"/>
          <w:sz w:val="24"/>
        </w:rPr>
        <w:br w:type="page"/>
      </w:r>
    </w:p>
    <w:p>
      <w:pPr>
        <w:spacing w:line="288" w:lineRule="auto"/>
        <w:jc w:val="left"/>
        <w:rPr>
          <w:rFonts w:ascii="宋体" w:hAnsi="宋体"/>
          <w:b/>
          <w:spacing w:val="-6"/>
          <w:sz w:val="24"/>
        </w:rPr>
      </w:pPr>
      <w:r>
        <w:rPr>
          <w:rFonts w:hint="eastAsia" w:ascii="宋体" w:hAnsi="宋体"/>
          <w:b/>
          <w:spacing w:val="-6"/>
          <w:sz w:val="24"/>
        </w:rPr>
        <w:t>售后</w:t>
      </w:r>
      <w:r>
        <w:rPr>
          <w:rFonts w:ascii="宋体" w:hAnsi="宋体"/>
          <w:b/>
          <w:spacing w:val="-6"/>
          <w:sz w:val="24"/>
        </w:rPr>
        <w:t>服务方案</w:t>
      </w:r>
      <w:r>
        <w:rPr>
          <w:rFonts w:hint="eastAsia" w:ascii="宋体" w:hAnsi="宋体"/>
          <w:b/>
          <w:spacing w:val="-6"/>
          <w:sz w:val="24"/>
        </w:rPr>
        <w:t>（</w:t>
      </w:r>
      <w:r>
        <w:rPr>
          <w:rFonts w:ascii="宋体" w:hAnsi="宋体"/>
          <w:b/>
          <w:spacing w:val="-6"/>
          <w:sz w:val="24"/>
        </w:rPr>
        <w:t>可</w:t>
      </w:r>
      <w:r>
        <w:rPr>
          <w:rFonts w:hint="eastAsia" w:ascii="宋体" w:hAnsi="宋体"/>
          <w:b/>
          <w:spacing w:val="-6"/>
          <w:sz w:val="24"/>
        </w:rPr>
        <w:t>根据</w:t>
      </w:r>
      <w:r>
        <w:rPr>
          <w:rFonts w:ascii="宋体" w:hAnsi="宋体"/>
          <w:b/>
          <w:spacing w:val="-6"/>
          <w:sz w:val="24"/>
        </w:rPr>
        <w:t>评分细则编写格式自拟</w:t>
      </w:r>
      <w:r>
        <w:rPr>
          <w:rFonts w:hint="eastAsia" w:ascii="宋体" w:hAnsi="宋体"/>
          <w:b/>
          <w:spacing w:val="-6"/>
          <w:sz w:val="24"/>
        </w:rPr>
        <w:t>）</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r>
        <w:rPr>
          <w:rFonts w:hint="eastAsia" w:ascii="宋体" w:hAnsi="宋体"/>
          <w:b/>
          <w:spacing w:val="-6"/>
          <w:sz w:val="24"/>
        </w:rPr>
        <w:t>技术服务、技术培训的内容和措施（</w:t>
      </w:r>
      <w:r>
        <w:rPr>
          <w:rFonts w:ascii="宋体" w:hAnsi="宋体"/>
          <w:b/>
          <w:spacing w:val="-6"/>
          <w:sz w:val="24"/>
        </w:rPr>
        <w:t>可</w:t>
      </w:r>
      <w:r>
        <w:rPr>
          <w:rFonts w:hint="eastAsia" w:ascii="宋体" w:hAnsi="宋体"/>
          <w:b/>
          <w:spacing w:val="-6"/>
          <w:sz w:val="24"/>
        </w:rPr>
        <w:t>根据</w:t>
      </w:r>
      <w:r>
        <w:rPr>
          <w:rFonts w:ascii="宋体" w:hAnsi="宋体"/>
          <w:b/>
          <w:spacing w:val="-6"/>
          <w:sz w:val="24"/>
        </w:rPr>
        <w:t>评分细则编写格式自拟</w:t>
      </w:r>
      <w:r>
        <w:rPr>
          <w:rFonts w:hint="eastAsia" w:ascii="宋体" w:hAnsi="宋体"/>
          <w:b/>
          <w:spacing w:val="-6"/>
          <w:sz w:val="24"/>
        </w:rPr>
        <w:t>）</w:t>
      </w:r>
    </w:p>
    <w:sectPr>
      <w:footerReference r:id="rId7" w:type="default"/>
      <w:pgSz w:w="11906" w:h="16838"/>
      <w:pgMar w:top="1247" w:right="1247" w:bottom="1247" w:left="1247" w:header="17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drawing>
        <wp:anchor distT="0" distB="0" distL="114300" distR="114300" simplePos="0" relativeHeight="251658240" behindDoc="1" locked="0" layoutInCell="1" allowOverlap="1">
          <wp:simplePos x="0" y="0"/>
          <wp:positionH relativeFrom="column">
            <wp:posOffset>4378960</wp:posOffset>
          </wp:positionH>
          <wp:positionV relativeFrom="paragraph">
            <wp:posOffset>120015</wp:posOffset>
          </wp:positionV>
          <wp:extent cx="1481455" cy="360045"/>
          <wp:effectExtent l="0" t="0" r="4445" b="8255"/>
          <wp:wrapNone/>
          <wp:docPr id="1"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4"/>
      </w:rPr>
    </w:pPr>
    <w:r>
      <w:fldChar w:fldCharType="begin"/>
    </w:r>
    <w:r>
      <w:rPr>
        <w:rStyle w:val="24"/>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Pr>
    <w:r>
      <w:fldChar w:fldCharType="begin"/>
    </w:r>
    <w:r>
      <w:rPr>
        <w:rStyle w:val="24"/>
      </w:rPr>
      <w:instrText xml:space="preserve"> PAGE  </w:instrText>
    </w:r>
    <w:r>
      <w:fldChar w:fldCharType="separate"/>
    </w:r>
    <w:r>
      <w:rPr>
        <w:rStyle w:val="24"/>
      </w:rPr>
      <w:t>1</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4"/>
      </w:rPr>
    </w:pPr>
  </w:p>
  <w:p>
    <w:pPr>
      <w:tabs>
        <w:tab w:val="left" w:pos="7417"/>
      </w:tabs>
      <w:jc w:val="center"/>
      <w:rPr>
        <w:sz w:val="21"/>
        <w:szCs w:val="21"/>
      </w:rPr>
    </w:pPr>
    <w:r>
      <w:rPr>
        <w:b/>
        <w:bCs/>
        <w:sz w:val="21"/>
        <w:szCs w:val="21"/>
      </w:rPr>
      <w:drawing>
        <wp:anchor distT="0" distB="0" distL="114300" distR="114300" simplePos="0" relativeHeight="251659264" behindDoc="1" locked="0" layoutInCell="1" allowOverlap="1">
          <wp:simplePos x="0" y="0"/>
          <wp:positionH relativeFrom="column">
            <wp:posOffset>4367530</wp:posOffset>
          </wp:positionH>
          <wp:positionV relativeFrom="paragraph">
            <wp:posOffset>75565</wp:posOffset>
          </wp:positionV>
          <wp:extent cx="1481455" cy="360045"/>
          <wp:effectExtent l="0" t="0" r="4445" b="825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rPr>
        <w:b/>
        <w:bCs/>
        <w:sz w:val="21"/>
        <w:szCs w:val="21"/>
      </w:rPr>
      <w:fldChar w:fldCharType="begin"/>
    </w:r>
    <w:r>
      <w:rPr>
        <w:b/>
        <w:bCs/>
        <w:sz w:val="21"/>
        <w:szCs w:val="21"/>
      </w:rPr>
      <w:instrText xml:space="preserve">PAGE  \* Arabic  \* MERGEFORMAT</w:instrText>
    </w:r>
    <w:r>
      <w:rPr>
        <w:b/>
        <w:bCs/>
        <w:sz w:val="21"/>
        <w:szCs w:val="21"/>
      </w:rPr>
      <w:fldChar w:fldCharType="separate"/>
    </w:r>
    <w:r>
      <w:rPr>
        <w:b/>
        <w:bCs/>
        <w:sz w:val="21"/>
        <w:szCs w:val="21"/>
        <w:lang w:val="zh-CN"/>
      </w:rPr>
      <w:t>24</w:t>
    </w:r>
    <w:r>
      <w:rPr>
        <w:b/>
        <w:bCs/>
        <w:sz w:val="21"/>
        <w:szCs w:val="21"/>
      </w:rPr>
      <w:fldChar w:fldCharType="end"/>
    </w:r>
    <w:r>
      <w:rPr>
        <w:sz w:val="21"/>
        <w:szCs w:val="21"/>
        <w:lang w:val="zh-CN"/>
      </w:rPr>
      <w:t xml:space="preserve"> / </w:t>
    </w:r>
    <w:r>
      <w:fldChar w:fldCharType="begin"/>
    </w:r>
    <w:r>
      <w:instrText xml:space="preserve">NUMPAGES  \* Arabic  \* MERGEFORMAT</w:instrText>
    </w:r>
    <w:r>
      <w:fldChar w:fldCharType="separate"/>
    </w:r>
    <w:r>
      <w:rPr>
        <w:b/>
        <w:bCs/>
        <w:sz w:val="21"/>
        <w:szCs w:val="21"/>
        <w:lang w:val="zh-CN"/>
      </w:rPr>
      <w:t>66</w:t>
    </w:r>
    <w:r>
      <w:rPr>
        <w:b/>
        <w:bCs/>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drawing>
        <wp:inline distT="0" distB="0" distL="114300" distR="114300">
          <wp:extent cx="5981700" cy="685800"/>
          <wp:effectExtent l="0" t="0" r="0" b="0"/>
          <wp:docPr id="3"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无标题 - 副本 - 副本"/>
                  <pic:cNvPicPr>
                    <a:picLocks noChangeAspect="1"/>
                  </pic:cNvPicPr>
                </pic:nvPicPr>
                <pic:blipFill>
                  <a:blip r:embed="rId1"/>
                  <a:stretch>
                    <a:fillRect/>
                  </a:stretch>
                </pic:blipFill>
                <pic:spPr>
                  <a:xfrm>
                    <a:off x="0" y="0"/>
                    <a:ext cx="5981700" cy="68580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D612B2"/>
    <w:multiLevelType w:val="multilevel"/>
    <w:tmpl w:val="35D61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407F"/>
    <w:rsid w:val="00010B5C"/>
    <w:rsid w:val="000114CE"/>
    <w:rsid w:val="00012EBC"/>
    <w:rsid w:val="0001334A"/>
    <w:rsid w:val="00014602"/>
    <w:rsid w:val="0001520A"/>
    <w:rsid w:val="00015891"/>
    <w:rsid w:val="000169F9"/>
    <w:rsid w:val="00017BEE"/>
    <w:rsid w:val="00021D4E"/>
    <w:rsid w:val="00023178"/>
    <w:rsid w:val="00024130"/>
    <w:rsid w:val="00024941"/>
    <w:rsid w:val="00025E6A"/>
    <w:rsid w:val="00026771"/>
    <w:rsid w:val="00026A35"/>
    <w:rsid w:val="00027A3C"/>
    <w:rsid w:val="00030DB5"/>
    <w:rsid w:val="00030E81"/>
    <w:rsid w:val="000310FE"/>
    <w:rsid w:val="00031E2B"/>
    <w:rsid w:val="00032280"/>
    <w:rsid w:val="000325E1"/>
    <w:rsid w:val="00033E2F"/>
    <w:rsid w:val="00034B6F"/>
    <w:rsid w:val="00036207"/>
    <w:rsid w:val="00036996"/>
    <w:rsid w:val="0003700E"/>
    <w:rsid w:val="0003797E"/>
    <w:rsid w:val="00040041"/>
    <w:rsid w:val="00041D0F"/>
    <w:rsid w:val="00043E78"/>
    <w:rsid w:val="000459B5"/>
    <w:rsid w:val="00045C96"/>
    <w:rsid w:val="00045EE2"/>
    <w:rsid w:val="00047DF2"/>
    <w:rsid w:val="0005166C"/>
    <w:rsid w:val="00051736"/>
    <w:rsid w:val="00052C43"/>
    <w:rsid w:val="00052D4E"/>
    <w:rsid w:val="00053AD2"/>
    <w:rsid w:val="000558AF"/>
    <w:rsid w:val="000572E5"/>
    <w:rsid w:val="00057B3C"/>
    <w:rsid w:val="00057C6A"/>
    <w:rsid w:val="0006044C"/>
    <w:rsid w:val="00062C77"/>
    <w:rsid w:val="00064453"/>
    <w:rsid w:val="00064F1A"/>
    <w:rsid w:val="00065362"/>
    <w:rsid w:val="00066072"/>
    <w:rsid w:val="0006626A"/>
    <w:rsid w:val="0006785D"/>
    <w:rsid w:val="00067B67"/>
    <w:rsid w:val="00071135"/>
    <w:rsid w:val="00071C2A"/>
    <w:rsid w:val="00072425"/>
    <w:rsid w:val="00073FF7"/>
    <w:rsid w:val="00074378"/>
    <w:rsid w:val="00074D7B"/>
    <w:rsid w:val="00076570"/>
    <w:rsid w:val="00077067"/>
    <w:rsid w:val="000804A7"/>
    <w:rsid w:val="00080A03"/>
    <w:rsid w:val="00084D5F"/>
    <w:rsid w:val="00085EC0"/>
    <w:rsid w:val="00090ABA"/>
    <w:rsid w:val="00093340"/>
    <w:rsid w:val="000941F1"/>
    <w:rsid w:val="00094C73"/>
    <w:rsid w:val="000957CD"/>
    <w:rsid w:val="00096127"/>
    <w:rsid w:val="000965C7"/>
    <w:rsid w:val="0009732C"/>
    <w:rsid w:val="000A1A26"/>
    <w:rsid w:val="000A2678"/>
    <w:rsid w:val="000A3119"/>
    <w:rsid w:val="000A56C7"/>
    <w:rsid w:val="000A7CFC"/>
    <w:rsid w:val="000B1842"/>
    <w:rsid w:val="000B21CE"/>
    <w:rsid w:val="000B2628"/>
    <w:rsid w:val="000B3E1B"/>
    <w:rsid w:val="000B40E6"/>
    <w:rsid w:val="000B504A"/>
    <w:rsid w:val="000B55D0"/>
    <w:rsid w:val="000B575E"/>
    <w:rsid w:val="000B5C73"/>
    <w:rsid w:val="000B6C54"/>
    <w:rsid w:val="000B78AE"/>
    <w:rsid w:val="000C3741"/>
    <w:rsid w:val="000C460F"/>
    <w:rsid w:val="000C47A9"/>
    <w:rsid w:val="000C4883"/>
    <w:rsid w:val="000C5831"/>
    <w:rsid w:val="000C5C75"/>
    <w:rsid w:val="000C60CB"/>
    <w:rsid w:val="000C6718"/>
    <w:rsid w:val="000C741E"/>
    <w:rsid w:val="000D03C9"/>
    <w:rsid w:val="000D25B1"/>
    <w:rsid w:val="000D2A1F"/>
    <w:rsid w:val="000D4C7F"/>
    <w:rsid w:val="000D519D"/>
    <w:rsid w:val="000D6C0F"/>
    <w:rsid w:val="000E01C6"/>
    <w:rsid w:val="000E0978"/>
    <w:rsid w:val="000E1629"/>
    <w:rsid w:val="000E1EE9"/>
    <w:rsid w:val="000E1F26"/>
    <w:rsid w:val="000E25FD"/>
    <w:rsid w:val="000E3A24"/>
    <w:rsid w:val="000E6588"/>
    <w:rsid w:val="000E7DBB"/>
    <w:rsid w:val="000F09AF"/>
    <w:rsid w:val="000F0D64"/>
    <w:rsid w:val="000F2AAD"/>
    <w:rsid w:val="000F31CF"/>
    <w:rsid w:val="000F47CE"/>
    <w:rsid w:val="000F55B7"/>
    <w:rsid w:val="000F5BBD"/>
    <w:rsid w:val="000F665A"/>
    <w:rsid w:val="000F7174"/>
    <w:rsid w:val="0010098C"/>
    <w:rsid w:val="00100E4C"/>
    <w:rsid w:val="00101341"/>
    <w:rsid w:val="00102403"/>
    <w:rsid w:val="00102D01"/>
    <w:rsid w:val="00105F12"/>
    <w:rsid w:val="00110547"/>
    <w:rsid w:val="00110AE7"/>
    <w:rsid w:val="00111B51"/>
    <w:rsid w:val="001144F7"/>
    <w:rsid w:val="00116AC0"/>
    <w:rsid w:val="00117084"/>
    <w:rsid w:val="001175E7"/>
    <w:rsid w:val="0012048B"/>
    <w:rsid w:val="00121040"/>
    <w:rsid w:val="00124DE1"/>
    <w:rsid w:val="00125768"/>
    <w:rsid w:val="001266CC"/>
    <w:rsid w:val="00126C29"/>
    <w:rsid w:val="00130BF7"/>
    <w:rsid w:val="00130CAF"/>
    <w:rsid w:val="00130ED6"/>
    <w:rsid w:val="00132A2E"/>
    <w:rsid w:val="001330A8"/>
    <w:rsid w:val="00136919"/>
    <w:rsid w:val="0013796A"/>
    <w:rsid w:val="00142B06"/>
    <w:rsid w:val="0014310B"/>
    <w:rsid w:val="00143148"/>
    <w:rsid w:val="0014555E"/>
    <w:rsid w:val="001475CB"/>
    <w:rsid w:val="001479A0"/>
    <w:rsid w:val="001502BC"/>
    <w:rsid w:val="00150D1E"/>
    <w:rsid w:val="00150EE4"/>
    <w:rsid w:val="00152D27"/>
    <w:rsid w:val="00153628"/>
    <w:rsid w:val="00155AFA"/>
    <w:rsid w:val="001566F2"/>
    <w:rsid w:val="00157BA2"/>
    <w:rsid w:val="00160B84"/>
    <w:rsid w:val="001613DD"/>
    <w:rsid w:val="00163EB2"/>
    <w:rsid w:val="00164AA0"/>
    <w:rsid w:val="00164DDA"/>
    <w:rsid w:val="001656CC"/>
    <w:rsid w:val="001663C7"/>
    <w:rsid w:val="00166D5B"/>
    <w:rsid w:val="0016712C"/>
    <w:rsid w:val="00167CCA"/>
    <w:rsid w:val="00170101"/>
    <w:rsid w:val="0017021A"/>
    <w:rsid w:val="00170703"/>
    <w:rsid w:val="00170DDC"/>
    <w:rsid w:val="001712CC"/>
    <w:rsid w:val="00171AF6"/>
    <w:rsid w:val="00172A27"/>
    <w:rsid w:val="001735C7"/>
    <w:rsid w:val="00174784"/>
    <w:rsid w:val="001763B3"/>
    <w:rsid w:val="001772C1"/>
    <w:rsid w:val="00181A44"/>
    <w:rsid w:val="00181A50"/>
    <w:rsid w:val="00182D78"/>
    <w:rsid w:val="00183235"/>
    <w:rsid w:val="00183978"/>
    <w:rsid w:val="00183AEF"/>
    <w:rsid w:val="00184D3D"/>
    <w:rsid w:val="00184E31"/>
    <w:rsid w:val="00190C4E"/>
    <w:rsid w:val="00191584"/>
    <w:rsid w:val="0019312F"/>
    <w:rsid w:val="00193798"/>
    <w:rsid w:val="00195094"/>
    <w:rsid w:val="00195167"/>
    <w:rsid w:val="00195A86"/>
    <w:rsid w:val="001965A7"/>
    <w:rsid w:val="001969F2"/>
    <w:rsid w:val="00196D70"/>
    <w:rsid w:val="00197580"/>
    <w:rsid w:val="001A1D09"/>
    <w:rsid w:val="001A25C8"/>
    <w:rsid w:val="001A4D48"/>
    <w:rsid w:val="001A5A88"/>
    <w:rsid w:val="001A5DA8"/>
    <w:rsid w:val="001A6AB8"/>
    <w:rsid w:val="001B045F"/>
    <w:rsid w:val="001B0E53"/>
    <w:rsid w:val="001B0ED0"/>
    <w:rsid w:val="001B20DE"/>
    <w:rsid w:val="001B3E88"/>
    <w:rsid w:val="001B5FB1"/>
    <w:rsid w:val="001B6FB1"/>
    <w:rsid w:val="001C0E2A"/>
    <w:rsid w:val="001C11F4"/>
    <w:rsid w:val="001C18CF"/>
    <w:rsid w:val="001C787A"/>
    <w:rsid w:val="001D0F0B"/>
    <w:rsid w:val="001D2BC7"/>
    <w:rsid w:val="001D37E3"/>
    <w:rsid w:val="001D4791"/>
    <w:rsid w:val="001D584D"/>
    <w:rsid w:val="001D7572"/>
    <w:rsid w:val="001E08CB"/>
    <w:rsid w:val="001E1578"/>
    <w:rsid w:val="001E1686"/>
    <w:rsid w:val="001E2199"/>
    <w:rsid w:val="001E2316"/>
    <w:rsid w:val="001E27B1"/>
    <w:rsid w:val="001E2F91"/>
    <w:rsid w:val="001E309E"/>
    <w:rsid w:val="001E3A76"/>
    <w:rsid w:val="001E57A3"/>
    <w:rsid w:val="001E6A29"/>
    <w:rsid w:val="001E7AE0"/>
    <w:rsid w:val="001E7C22"/>
    <w:rsid w:val="001F01E8"/>
    <w:rsid w:val="001F0BF3"/>
    <w:rsid w:val="001F21F0"/>
    <w:rsid w:val="001F2717"/>
    <w:rsid w:val="001F3F3F"/>
    <w:rsid w:val="001F464D"/>
    <w:rsid w:val="001F4DA5"/>
    <w:rsid w:val="001F7D64"/>
    <w:rsid w:val="00201740"/>
    <w:rsid w:val="00202AFC"/>
    <w:rsid w:val="00203DAA"/>
    <w:rsid w:val="00204379"/>
    <w:rsid w:val="00204748"/>
    <w:rsid w:val="002048D6"/>
    <w:rsid w:val="00205352"/>
    <w:rsid w:val="002053B5"/>
    <w:rsid w:val="00206B67"/>
    <w:rsid w:val="00206C9F"/>
    <w:rsid w:val="002102BE"/>
    <w:rsid w:val="00210B1B"/>
    <w:rsid w:val="00210DE3"/>
    <w:rsid w:val="00212052"/>
    <w:rsid w:val="002126B6"/>
    <w:rsid w:val="00212ED2"/>
    <w:rsid w:val="002143CB"/>
    <w:rsid w:val="00214FEB"/>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35EA"/>
    <w:rsid w:val="0023377A"/>
    <w:rsid w:val="002340E8"/>
    <w:rsid w:val="00235211"/>
    <w:rsid w:val="00237186"/>
    <w:rsid w:val="00237361"/>
    <w:rsid w:val="002378EC"/>
    <w:rsid w:val="00237EE5"/>
    <w:rsid w:val="00240C9B"/>
    <w:rsid w:val="00242080"/>
    <w:rsid w:val="00242235"/>
    <w:rsid w:val="00242E6A"/>
    <w:rsid w:val="00243E14"/>
    <w:rsid w:val="0024503F"/>
    <w:rsid w:val="0024679B"/>
    <w:rsid w:val="0025247A"/>
    <w:rsid w:val="00253721"/>
    <w:rsid w:val="002547BE"/>
    <w:rsid w:val="00255253"/>
    <w:rsid w:val="002552D0"/>
    <w:rsid w:val="002562F5"/>
    <w:rsid w:val="0026011F"/>
    <w:rsid w:val="00260977"/>
    <w:rsid w:val="00265095"/>
    <w:rsid w:val="00270464"/>
    <w:rsid w:val="0027204E"/>
    <w:rsid w:val="00273787"/>
    <w:rsid w:val="00274A62"/>
    <w:rsid w:val="002761DE"/>
    <w:rsid w:val="00277580"/>
    <w:rsid w:val="00277C34"/>
    <w:rsid w:val="00282451"/>
    <w:rsid w:val="00282FB2"/>
    <w:rsid w:val="00283516"/>
    <w:rsid w:val="0028576A"/>
    <w:rsid w:val="00285FD1"/>
    <w:rsid w:val="00291E79"/>
    <w:rsid w:val="00292964"/>
    <w:rsid w:val="00293231"/>
    <w:rsid w:val="00294556"/>
    <w:rsid w:val="002968CF"/>
    <w:rsid w:val="00296EF4"/>
    <w:rsid w:val="002972C0"/>
    <w:rsid w:val="002979DD"/>
    <w:rsid w:val="002A14AF"/>
    <w:rsid w:val="002A3506"/>
    <w:rsid w:val="002A3CBC"/>
    <w:rsid w:val="002A5CCC"/>
    <w:rsid w:val="002A64AF"/>
    <w:rsid w:val="002B11C3"/>
    <w:rsid w:val="002B2768"/>
    <w:rsid w:val="002B2FEC"/>
    <w:rsid w:val="002B3E2B"/>
    <w:rsid w:val="002B4E83"/>
    <w:rsid w:val="002B5D76"/>
    <w:rsid w:val="002B6BA6"/>
    <w:rsid w:val="002B6F01"/>
    <w:rsid w:val="002C076E"/>
    <w:rsid w:val="002C143C"/>
    <w:rsid w:val="002C1912"/>
    <w:rsid w:val="002C1B38"/>
    <w:rsid w:val="002C357E"/>
    <w:rsid w:val="002C3EAE"/>
    <w:rsid w:val="002C40FF"/>
    <w:rsid w:val="002C44E9"/>
    <w:rsid w:val="002C477A"/>
    <w:rsid w:val="002C5CB1"/>
    <w:rsid w:val="002C5E13"/>
    <w:rsid w:val="002C5EBF"/>
    <w:rsid w:val="002C7C54"/>
    <w:rsid w:val="002D10B5"/>
    <w:rsid w:val="002D1786"/>
    <w:rsid w:val="002D3048"/>
    <w:rsid w:val="002D47F3"/>
    <w:rsid w:val="002D5B6C"/>
    <w:rsid w:val="002D5FFD"/>
    <w:rsid w:val="002D67DB"/>
    <w:rsid w:val="002E07ED"/>
    <w:rsid w:val="002E4C92"/>
    <w:rsid w:val="002E4FDC"/>
    <w:rsid w:val="002E549E"/>
    <w:rsid w:val="002E5791"/>
    <w:rsid w:val="002E64B2"/>
    <w:rsid w:val="002E68EC"/>
    <w:rsid w:val="002F0F07"/>
    <w:rsid w:val="002F6F89"/>
    <w:rsid w:val="003016B5"/>
    <w:rsid w:val="00302500"/>
    <w:rsid w:val="00304728"/>
    <w:rsid w:val="003047BC"/>
    <w:rsid w:val="00304EE6"/>
    <w:rsid w:val="003052FD"/>
    <w:rsid w:val="00305807"/>
    <w:rsid w:val="00306DD9"/>
    <w:rsid w:val="003079E4"/>
    <w:rsid w:val="00307CC0"/>
    <w:rsid w:val="0031267B"/>
    <w:rsid w:val="00313747"/>
    <w:rsid w:val="003140F3"/>
    <w:rsid w:val="00316590"/>
    <w:rsid w:val="00316B96"/>
    <w:rsid w:val="003171CE"/>
    <w:rsid w:val="0032012F"/>
    <w:rsid w:val="00320747"/>
    <w:rsid w:val="003210E3"/>
    <w:rsid w:val="00321325"/>
    <w:rsid w:val="00322663"/>
    <w:rsid w:val="003232CD"/>
    <w:rsid w:val="00324345"/>
    <w:rsid w:val="00325EA2"/>
    <w:rsid w:val="003264E3"/>
    <w:rsid w:val="00326C09"/>
    <w:rsid w:val="00326DBE"/>
    <w:rsid w:val="00327EC1"/>
    <w:rsid w:val="003309CC"/>
    <w:rsid w:val="00331BE2"/>
    <w:rsid w:val="0033444D"/>
    <w:rsid w:val="00341716"/>
    <w:rsid w:val="00343CEA"/>
    <w:rsid w:val="003442F4"/>
    <w:rsid w:val="003449A1"/>
    <w:rsid w:val="00347BE6"/>
    <w:rsid w:val="00350356"/>
    <w:rsid w:val="003504FE"/>
    <w:rsid w:val="00350E13"/>
    <w:rsid w:val="00352463"/>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ABC"/>
    <w:rsid w:val="00367B48"/>
    <w:rsid w:val="00370631"/>
    <w:rsid w:val="00370A2E"/>
    <w:rsid w:val="00371B9E"/>
    <w:rsid w:val="0037202A"/>
    <w:rsid w:val="00374413"/>
    <w:rsid w:val="003773A7"/>
    <w:rsid w:val="003839BD"/>
    <w:rsid w:val="00385FBB"/>
    <w:rsid w:val="00386526"/>
    <w:rsid w:val="00387150"/>
    <w:rsid w:val="003933A4"/>
    <w:rsid w:val="00393EF7"/>
    <w:rsid w:val="00395436"/>
    <w:rsid w:val="0039578F"/>
    <w:rsid w:val="00395BA7"/>
    <w:rsid w:val="00396AA5"/>
    <w:rsid w:val="00397533"/>
    <w:rsid w:val="003A06EB"/>
    <w:rsid w:val="003A2CBB"/>
    <w:rsid w:val="003A3E9B"/>
    <w:rsid w:val="003A41F8"/>
    <w:rsid w:val="003A5D2C"/>
    <w:rsid w:val="003A7431"/>
    <w:rsid w:val="003A7D18"/>
    <w:rsid w:val="003B134E"/>
    <w:rsid w:val="003B1689"/>
    <w:rsid w:val="003B1C1F"/>
    <w:rsid w:val="003B28C2"/>
    <w:rsid w:val="003B2F96"/>
    <w:rsid w:val="003B357D"/>
    <w:rsid w:val="003B4C6F"/>
    <w:rsid w:val="003B51F5"/>
    <w:rsid w:val="003B51F8"/>
    <w:rsid w:val="003B659C"/>
    <w:rsid w:val="003B7865"/>
    <w:rsid w:val="003C01CA"/>
    <w:rsid w:val="003C1CBC"/>
    <w:rsid w:val="003C1E84"/>
    <w:rsid w:val="003C4DEA"/>
    <w:rsid w:val="003C5342"/>
    <w:rsid w:val="003C6699"/>
    <w:rsid w:val="003C7359"/>
    <w:rsid w:val="003C746E"/>
    <w:rsid w:val="003C77EB"/>
    <w:rsid w:val="003D1E07"/>
    <w:rsid w:val="003D2811"/>
    <w:rsid w:val="003D3342"/>
    <w:rsid w:val="003D5252"/>
    <w:rsid w:val="003D6E3B"/>
    <w:rsid w:val="003E420E"/>
    <w:rsid w:val="003E432C"/>
    <w:rsid w:val="003E4AC9"/>
    <w:rsid w:val="003E4D6D"/>
    <w:rsid w:val="003E5479"/>
    <w:rsid w:val="003E68D9"/>
    <w:rsid w:val="003E72D6"/>
    <w:rsid w:val="003E7EBC"/>
    <w:rsid w:val="003F0B69"/>
    <w:rsid w:val="003F1386"/>
    <w:rsid w:val="003F15BA"/>
    <w:rsid w:val="003F218F"/>
    <w:rsid w:val="003F2E62"/>
    <w:rsid w:val="003F34C2"/>
    <w:rsid w:val="003F3600"/>
    <w:rsid w:val="003F3ECE"/>
    <w:rsid w:val="003F3F07"/>
    <w:rsid w:val="003F5EB4"/>
    <w:rsid w:val="003F6704"/>
    <w:rsid w:val="003F7DC8"/>
    <w:rsid w:val="00403823"/>
    <w:rsid w:val="004042F9"/>
    <w:rsid w:val="00405967"/>
    <w:rsid w:val="0040605A"/>
    <w:rsid w:val="00411200"/>
    <w:rsid w:val="00413DC4"/>
    <w:rsid w:val="0041409C"/>
    <w:rsid w:val="0041426E"/>
    <w:rsid w:val="0041545F"/>
    <w:rsid w:val="00416015"/>
    <w:rsid w:val="00416B34"/>
    <w:rsid w:val="00421296"/>
    <w:rsid w:val="004212E0"/>
    <w:rsid w:val="0042563A"/>
    <w:rsid w:val="00426194"/>
    <w:rsid w:val="00427131"/>
    <w:rsid w:val="00427E22"/>
    <w:rsid w:val="0043176C"/>
    <w:rsid w:val="00432CBC"/>
    <w:rsid w:val="00433638"/>
    <w:rsid w:val="00434010"/>
    <w:rsid w:val="00434716"/>
    <w:rsid w:val="004355DD"/>
    <w:rsid w:val="00441565"/>
    <w:rsid w:val="00442074"/>
    <w:rsid w:val="0044272F"/>
    <w:rsid w:val="00442B30"/>
    <w:rsid w:val="00445D9A"/>
    <w:rsid w:val="004469A9"/>
    <w:rsid w:val="00450275"/>
    <w:rsid w:val="004502D8"/>
    <w:rsid w:val="004523FB"/>
    <w:rsid w:val="00452D8A"/>
    <w:rsid w:val="00453A4B"/>
    <w:rsid w:val="00455AF6"/>
    <w:rsid w:val="00456080"/>
    <w:rsid w:val="00457648"/>
    <w:rsid w:val="00460046"/>
    <w:rsid w:val="004608B3"/>
    <w:rsid w:val="00462652"/>
    <w:rsid w:val="00463D29"/>
    <w:rsid w:val="00464A8D"/>
    <w:rsid w:val="00464FF3"/>
    <w:rsid w:val="00465A6B"/>
    <w:rsid w:val="004667D5"/>
    <w:rsid w:val="00466F63"/>
    <w:rsid w:val="0047158C"/>
    <w:rsid w:val="0047439E"/>
    <w:rsid w:val="00474A3C"/>
    <w:rsid w:val="00475629"/>
    <w:rsid w:val="0047604F"/>
    <w:rsid w:val="004775BF"/>
    <w:rsid w:val="0048048B"/>
    <w:rsid w:val="00480998"/>
    <w:rsid w:val="00480CB2"/>
    <w:rsid w:val="00481899"/>
    <w:rsid w:val="004819B5"/>
    <w:rsid w:val="00481A52"/>
    <w:rsid w:val="00481A6F"/>
    <w:rsid w:val="00481CAD"/>
    <w:rsid w:val="00482B89"/>
    <w:rsid w:val="00483F4B"/>
    <w:rsid w:val="00484415"/>
    <w:rsid w:val="00490624"/>
    <w:rsid w:val="004921C2"/>
    <w:rsid w:val="004925C8"/>
    <w:rsid w:val="00492B0C"/>
    <w:rsid w:val="00494993"/>
    <w:rsid w:val="00495BB8"/>
    <w:rsid w:val="00496AF0"/>
    <w:rsid w:val="004A24A6"/>
    <w:rsid w:val="004A2DE8"/>
    <w:rsid w:val="004A3D82"/>
    <w:rsid w:val="004A5695"/>
    <w:rsid w:val="004B41C6"/>
    <w:rsid w:val="004B759C"/>
    <w:rsid w:val="004C0B2C"/>
    <w:rsid w:val="004C18F8"/>
    <w:rsid w:val="004C3E5D"/>
    <w:rsid w:val="004C4640"/>
    <w:rsid w:val="004C4D43"/>
    <w:rsid w:val="004C5352"/>
    <w:rsid w:val="004C5C99"/>
    <w:rsid w:val="004C6118"/>
    <w:rsid w:val="004C696F"/>
    <w:rsid w:val="004C6BBE"/>
    <w:rsid w:val="004C78D0"/>
    <w:rsid w:val="004D0196"/>
    <w:rsid w:val="004D2173"/>
    <w:rsid w:val="004D244D"/>
    <w:rsid w:val="004D338F"/>
    <w:rsid w:val="004D3A12"/>
    <w:rsid w:val="004D42B5"/>
    <w:rsid w:val="004D65EE"/>
    <w:rsid w:val="004D691A"/>
    <w:rsid w:val="004D6C06"/>
    <w:rsid w:val="004D7A3E"/>
    <w:rsid w:val="004E13AE"/>
    <w:rsid w:val="004E1A2F"/>
    <w:rsid w:val="004E1AC2"/>
    <w:rsid w:val="004E1C0D"/>
    <w:rsid w:val="004E4DF5"/>
    <w:rsid w:val="004E55ED"/>
    <w:rsid w:val="004E5A54"/>
    <w:rsid w:val="004E641D"/>
    <w:rsid w:val="004E666E"/>
    <w:rsid w:val="004F014A"/>
    <w:rsid w:val="004F04A4"/>
    <w:rsid w:val="004F0E43"/>
    <w:rsid w:val="004F1269"/>
    <w:rsid w:val="004F148B"/>
    <w:rsid w:val="004F15DF"/>
    <w:rsid w:val="004F1C64"/>
    <w:rsid w:val="004F25EC"/>
    <w:rsid w:val="004F3EB8"/>
    <w:rsid w:val="004F3F0F"/>
    <w:rsid w:val="004F49E7"/>
    <w:rsid w:val="004F5086"/>
    <w:rsid w:val="004F5F86"/>
    <w:rsid w:val="004F76EF"/>
    <w:rsid w:val="004F7AAC"/>
    <w:rsid w:val="00501DC4"/>
    <w:rsid w:val="0050283A"/>
    <w:rsid w:val="00502E5B"/>
    <w:rsid w:val="00502F81"/>
    <w:rsid w:val="005034C8"/>
    <w:rsid w:val="00503F1B"/>
    <w:rsid w:val="00504712"/>
    <w:rsid w:val="00504D67"/>
    <w:rsid w:val="00505A25"/>
    <w:rsid w:val="00505C50"/>
    <w:rsid w:val="005069F0"/>
    <w:rsid w:val="00510BB7"/>
    <w:rsid w:val="00511929"/>
    <w:rsid w:val="00512A62"/>
    <w:rsid w:val="00513B1C"/>
    <w:rsid w:val="0051588D"/>
    <w:rsid w:val="00515BE8"/>
    <w:rsid w:val="005205F6"/>
    <w:rsid w:val="00520A33"/>
    <w:rsid w:val="00521116"/>
    <w:rsid w:val="005224A1"/>
    <w:rsid w:val="00522CE3"/>
    <w:rsid w:val="00523503"/>
    <w:rsid w:val="00523E7A"/>
    <w:rsid w:val="00524853"/>
    <w:rsid w:val="00526134"/>
    <w:rsid w:val="00526451"/>
    <w:rsid w:val="00532103"/>
    <w:rsid w:val="00532F04"/>
    <w:rsid w:val="00533518"/>
    <w:rsid w:val="00534DBF"/>
    <w:rsid w:val="00535E91"/>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A8A"/>
    <w:rsid w:val="005546E1"/>
    <w:rsid w:val="00556914"/>
    <w:rsid w:val="00556B9C"/>
    <w:rsid w:val="00557654"/>
    <w:rsid w:val="005606E1"/>
    <w:rsid w:val="00560A36"/>
    <w:rsid w:val="00560A79"/>
    <w:rsid w:val="0056252C"/>
    <w:rsid w:val="00563AB8"/>
    <w:rsid w:val="005643E8"/>
    <w:rsid w:val="005644F8"/>
    <w:rsid w:val="00564D6C"/>
    <w:rsid w:val="005654BE"/>
    <w:rsid w:val="00565879"/>
    <w:rsid w:val="00566529"/>
    <w:rsid w:val="00567533"/>
    <w:rsid w:val="00571DBA"/>
    <w:rsid w:val="005723DC"/>
    <w:rsid w:val="005726F3"/>
    <w:rsid w:val="00574DC1"/>
    <w:rsid w:val="00575895"/>
    <w:rsid w:val="00577C3A"/>
    <w:rsid w:val="00581D03"/>
    <w:rsid w:val="0058256A"/>
    <w:rsid w:val="00582816"/>
    <w:rsid w:val="00583539"/>
    <w:rsid w:val="00584DB3"/>
    <w:rsid w:val="005876EF"/>
    <w:rsid w:val="005878B8"/>
    <w:rsid w:val="005905B4"/>
    <w:rsid w:val="00590773"/>
    <w:rsid w:val="005915D7"/>
    <w:rsid w:val="005917E3"/>
    <w:rsid w:val="00593C63"/>
    <w:rsid w:val="00594BFF"/>
    <w:rsid w:val="005967EE"/>
    <w:rsid w:val="00596BA7"/>
    <w:rsid w:val="005977A9"/>
    <w:rsid w:val="005A0B3D"/>
    <w:rsid w:val="005A2394"/>
    <w:rsid w:val="005A2822"/>
    <w:rsid w:val="005A3ADA"/>
    <w:rsid w:val="005A4528"/>
    <w:rsid w:val="005A4E57"/>
    <w:rsid w:val="005A6080"/>
    <w:rsid w:val="005A63E9"/>
    <w:rsid w:val="005A6690"/>
    <w:rsid w:val="005A66AD"/>
    <w:rsid w:val="005A68EE"/>
    <w:rsid w:val="005B0817"/>
    <w:rsid w:val="005B0D5E"/>
    <w:rsid w:val="005B10DB"/>
    <w:rsid w:val="005B1867"/>
    <w:rsid w:val="005B1CE1"/>
    <w:rsid w:val="005B3E38"/>
    <w:rsid w:val="005B47D1"/>
    <w:rsid w:val="005B5690"/>
    <w:rsid w:val="005B5B8E"/>
    <w:rsid w:val="005B6045"/>
    <w:rsid w:val="005B6BF4"/>
    <w:rsid w:val="005B7B7A"/>
    <w:rsid w:val="005B7F8C"/>
    <w:rsid w:val="005C0C37"/>
    <w:rsid w:val="005C4A34"/>
    <w:rsid w:val="005C4CDD"/>
    <w:rsid w:val="005C512B"/>
    <w:rsid w:val="005C613B"/>
    <w:rsid w:val="005C619B"/>
    <w:rsid w:val="005C6E9F"/>
    <w:rsid w:val="005C6EB2"/>
    <w:rsid w:val="005C6F03"/>
    <w:rsid w:val="005D0515"/>
    <w:rsid w:val="005D0E6E"/>
    <w:rsid w:val="005D2E87"/>
    <w:rsid w:val="005D6D07"/>
    <w:rsid w:val="005D7846"/>
    <w:rsid w:val="005D79BB"/>
    <w:rsid w:val="005E1344"/>
    <w:rsid w:val="005E30D1"/>
    <w:rsid w:val="005E4137"/>
    <w:rsid w:val="005E4AAD"/>
    <w:rsid w:val="005E5088"/>
    <w:rsid w:val="005E60F5"/>
    <w:rsid w:val="005E7B45"/>
    <w:rsid w:val="005F1172"/>
    <w:rsid w:val="005F163A"/>
    <w:rsid w:val="005F2F4F"/>
    <w:rsid w:val="005F3CFC"/>
    <w:rsid w:val="005F5B90"/>
    <w:rsid w:val="005F77A5"/>
    <w:rsid w:val="00600FF3"/>
    <w:rsid w:val="006020B8"/>
    <w:rsid w:val="006023A2"/>
    <w:rsid w:val="00602EF6"/>
    <w:rsid w:val="0060542B"/>
    <w:rsid w:val="00605AC8"/>
    <w:rsid w:val="0060710A"/>
    <w:rsid w:val="00607642"/>
    <w:rsid w:val="00611BD5"/>
    <w:rsid w:val="00611D13"/>
    <w:rsid w:val="006122CB"/>
    <w:rsid w:val="006124EC"/>
    <w:rsid w:val="006137A4"/>
    <w:rsid w:val="0061497F"/>
    <w:rsid w:val="00616B49"/>
    <w:rsid w:val="00617997"/>
    <w:rsid w:val="00617E4F"/>
    <w:rsid w:val="0062136D"/>
    <w:rsid w:val="00622BCB"/>
    <w:rsid w:val="006234A2"/>
    <w:rsid w:val="00624B01"/>
    <w:rsid w:val="006253D5"/>
    <w:rsid w:val="00625F2E"/>
    <w:rsid w:val="00627BCD"/>
    <w:rsid w:val="00627D66"/>
    <w:rsid w:val="00630732"/>
    <w:rsid w:val="006311DA"/>
    <w:rsid w:val="00631BBB"/>
    <w:rsid w:val="00631DCB"/>
    <w:rsid w:val="00631E35"/>
    <w:rsid w:val="00632425"/>
    <w:rsid w:val="00632B80"/>
    <w:rsid w:val="00634EB6"/>
    <w:rsid w:val="0063533C"/>
    <w:rsid w:val="0063560C"/>
    <w:rsid w:val="00636593"/>
    <w:rsid w:val="00641AC2"/>
    <w:rsid w:val="00641B22"/>
    <w:rsid w:val="00643E26"/>
    <w:rsid w:val="00644C53"/>
    <w:rsid w:val="006454A6"/>
    <w:rsid w:val="006460DA"/>
    <w:rsid w:val="0064712A"/>
    <w:rsid w:val="006471BB"/>
    <w:rsid w:val="00650D4C"/>
    <w:rsid w:val="00651518"/>
    <w:rsid w:val="00651589"/>
    <w:rsid w:val="00651BA8"/>
    <w:rsid w:val="0065339E"/>
    <w:rsid w:val="00653E9A"/>
    <w:rsid w:val="00656B4B"/>
    <w:rsid w:val="00661B07"/>
    <w:rsid w:val="006625A5"/>
    <w:rsid w:val="00663DF6"/>
    <w:rsid w:val="00664134"/>
    <w:rsid w:val="0066445B"/>
    <w:rsid w:val="006646D8"/>
    <w:rsid w:val="0066485B"/>
    <w:rsid w:val="00665C3D"/>
    <w:rsid w:val="00666304"/>
    <w:rsid w:val="00670B47"/>
    <w:rsid w:val="006716EA"/>
    <w:rsid w:val="00671DFD"/>
    <w:rsid w:val="00671EC4"/>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35B"/>
    <w:rsid w:val="006943DE"/>
    <w:rsid w:val="00695089"/>
    <w:rsid w:val="00695EC0"/>
    <w:rsid w:val="00697679"/>
    <w:rsid w:val="00697F33"/>
    <w:rsid w:val="006A02F8"/>
    <w:rsid w:val="006A0333"/>
    <w:rsid w:val="006A0435"/>
    <w:rsid w:val="006A144C"/>
    <w:rsid w:val="006A19C9"/>
    <w:rsid w:val="006A200A"/>
    <w:rsid w:val="006A27F6"/>
    <w:rsid w:val="006A2CFB"/>
    <w:rsid w:val="006A3181"/>
    <w:rsid w:val="006A4AD6"/>
    <w:rsid w:val="006A53B8"/>
    <w:rsid w:val="006A6157"/>
    <w:rsid w:val="006B1614"/>
    <w:rsid w:val="006B17ED"/>
    <w:rsid w:val="006B2CC2"/>
    <w:rsid w:val="006B42CD"/>
    <w:rsid w:val="006B53D3"/>
    <w:rsid w:val="006B5DCA"/>
    <w:rsid w:val="006B67DB"/>
    <w:rsid w:val="006B77CE"/>
    <w:rsid w:val="006B7912"/>
    <w:rsid w:val="006C062B"/>
    <w:rsid w:val="006C20D9"/>
    <w:rsid w:val="006C2FBC"/>
    <w:rsid w:val="006C6A41"/>
    <w:rsid w:val="006C7041"/>
    <w:rsid w:val="006C77EC"/>
    <w:rsid w:val="006D0283"/>
    <w:rsid w:val="006D33C0"/>
    <w:rsid w:val="006D385A"/>
    <w:rsid w:val="006D4F4A"/>
    <w:rsid w:val="006D5AC9"/>
    <w:rsid w:val="006D5EB4"/>
    <w:rsid w:val="006D6742"/>
    <w:rsid w:val="006D6CF3"/>
    <w:rsid w:val="006D6F17"/>
    <w:rsid w:val="006D70DA"/>
    <w:rsid w:val="006D7269"/>
    <w:rsid w:val="006E01E1"/>
    <w:rsid w:val="006E0B5D"/>
    <w:rsid w:val="006E1442"/>
    <w:rsid w:val="006E2B55"/>
    <w:rsid w:val="006E30CC"/>
    <w:rsid w:val="006E4425"/>
    <w:rsid w:val="006E51E2"/>
    <w:rsid w:val="006E5A01"/>
    <w:rsid w:val="006E5BB6"/>
    <w:rsid w:val="006F0ADD"/>
    <w:rsid w:val="006F0F42"/>
    <w:rsid w:val="006F17C3"/>
    <w:rsid w:val="006F1CCA"/>
    <w:rsid w:val="006F3F5C"/>
    <w:rsid w:val="006F6A32"/>
    <w:rsid w:val="006F6FAD"/>
    <w:rsid w:val="00700546"/>
    <w:rsid w:val="00701DC6"/>
    <w:rsid w:val="0070618B"/>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301B8"/>
    <w:rsid w:val="00730985"/>
    <w:rsid w:val="00732B90"/>
    <w:rsid w:val="00732F31"/>
    <w:rsid w:val="007345F6"/>
    <w:rsid w:val="007348F8"/>
    <w:rsid w:val="007349FB"/>
    <w:rsid w:val="0073516A"/>
    <w:rsid w:val="007361EE"/>
    <w:rsid w:val="0073637A"/>
    <w:rsid w:val="007374E8"/>
    <w:rsid w:val="00740D39"/>
    <w:rsid w:val="007427F5"/>
    <w:rsid w:val="007450F7"/>
    <w:rsid w:val="007459CF"/>
    <w:rsid w:val="00746721"/>
    <w:rsid w:val="00753C8E"/>
    <w:rsid w:val="00753DDE"/>
    <w:rsid w:val="00756138"/>
    <w:rsid w:val="007563F9"/>
    <w:rsid w:val="007576BA"/>
    <w:rsid w:val="00760A12"/>
    <w:rsid w:val="00760F3C"/>
    <w:rsid w:val="007614DF"/>
    <w:rsid w:val="00761C30"/>
    <w:rsid w:val="00763901"/>
    <w:rsid w:val="00763D85"/>
    <w:rsid w:val="00764357"/>
    <w:rsid w:val="00765CC7"/>
    <w:rsid w:val="00766419"/>
    <w:rsid w:val="00767717"/>
    <w:rsid w:val="00771263"/>
    <w:rsid w:val="00773D1D"/>
    <w:rsid w:val="00774976"/>
    <w:rsid w:val="00774A21"/>
    <w:rsid w:val="00774EEC"/>
    <w:rsid w:val="00775DCF"/>
    <w:rsid w:val="0077618C"/>
    <w:rsid w:val="007767DD"/>
    <w:rsid w:val="00776857"/>
    <w:rsid w:val="00776C7D"/>
    <w:rsid w:val="00777870"/>
    <w:rsid w:val="00777D33"/>
    <w:rsid w:val="007807B1"/>
    <w:rsid w:val="00780B43"/>
    <w:rsid w:val="0078100F"/>
    <w:rsid w:val="00781A1E"/>
    <w:rsid w:val="00782159"/>
    <w:rsid w:val="00784690"/>
    <w:rsid w:val="00787A73"/>
    <w:rsid w:val="00791653"/>
    <w:rsid w:val="007922CA"/>
    <w:rsid w:val="007923FC"/>
    <w:rsid w:val="00792A9D"/>
    <w:rsid w:val="00793896"/>
    <w:rsid w:val="007941DF"/>
    <w:rsid w:val="00794444"/>
    <w:rsid w:val="0079468C"/>
    <w:rsid w:val="00795DC1"/>
    <w:rsid w:val="0079687A"/>
    <w:rsid w:val="0079783F"/>
    <w:rsid w:val="00797AC4"/>
    <w:rsid w:val="00797C10"/>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2534"/>
    <w:rsid w:val="007C63BC"/>
    <w:rsid w:val="007C75A1"/>
    <w:rsid w:val="007C7ADF"/>
    <w:rsid w:val="007C7D9A"/>
    <w:rsid w:val="007D0EBE"/>
    <w:rsid w:val="007D1C44"/>
    <w:rsid w:val="007D1D15"/>
    <w:rsid w:val="007D3B2C"/>
    <w:rsid w:val="007D7679"/>
    <w:rsid w:val="007D7947"/>
    <w:rsid w:val="007E058F"/>
    <w:rsid w:val="007E48B5"/>
    <w:rsid w:val="007E5B57"/>
    <w:rsid w:val="007E6121"/>
    <w:rsid w:val="007E709F"/>
    <w:rsid w:val="007E765F"/>
    <w:rsid w:val="007F087E"/>
    <w:rsid w:val="007F0B33"/>
    <w:rsid w:val="007F0B48"/>
    <w:rsid w:val="007F0BAD"/>
    <w:rsid w:val="007F20ED"/>
    <w:rsid w:val="007F3330"/>
    <w:rsid w:val="007F4CA3"/>
    <w:rsid w:val="007F647D"/>
    <w:rsid w:val="007F6D41"/>
    <w:rsid w:val="007F750D"/>
    <w:rsid w:val="007F794F"/>
    <w:rsid w:val="008029B2"/>
    <w:rsid w:val="00802E9D"/>
    <w:rsid w:val="00804FDD"/>
    <w:rsid w:val="008059CB"/>
    <w:rsid w:val="00807215"/>
    <w:rsid w:val="008117D0"/>
    <w:rsid w:val="00812EB7"/>
    <w:rsid w:val="008144F4"/>
    <w:rsid w:val="00814968"/>
    <w:rsid w:val="00814A49"/>
    <w:rsid w:val="00814F60"/>
    <w:rsid w:val="008172F6"/>
    <w:rsid w:val="00817AC1"/>
    <w:rsid w:val="00817AED"/>
    <w:rsid w:val="0082109C"/>
    <w:rsid w:val="00821290"/>
    <w:rsid w:val="00822912"/>
    <w:rsid w:val="00822C2E"/>
    <w:rsid w:val="00824BD3"/>
    <w:rsid w:val="00826240"/>
    <w:rsid w:val="00826A78"/>
    <w:rsid w:val="00826B17"/>
    <w:rsid w:val="0082730A"/>
    <w:rsid w:val="00830052"/>
    <w:rsid w:val="008319C0"/>
    <w:rsid w:val="00831E4F"/>
    <w:rsid w:val="00831F0B"/>
    <w:rsid w:val="00833C36"/>
    <w:rsid w:val="00837A14"/>
    <w:rsid w:val="00840E42"/>
    <w:rsid w:val="00840F76"/>
    <w:rsid w:val="00841409"/>
    <w:rsid w:val="00841BCB"/>
    <w:rsid w:val="00842722"/>
    <w:rsid w:val="00844F2F"/>
    <w:rsid w:val="00846521"/>
    <w:rsid w:val="00846CE8"/>
    <w:rsid w:val="00846F8D"/>
    <w:rsid w:val="00847048"/>
    <w:rsid w:val="008471C4"/>
    <w:rsid w:val="00847385"/>
    <w:rsid w:val="00847843"/>
    <w:rsid w:val="00847A88"/>
    <w:rsid w:val="0085047B"/>
    <w:rsid w:val="00851C77"/>
    <w:rsid w:val="00851D97"/>
    <w:rsid w:val="008522D3"/>
    <w:rsid w:val="008524D2"/>
    <w:rsid w:val="008553B2"/>
    <w:rsid w:val="008557ED"/>
    <w:rsid w:val="00855903"/>
    <w:rsid w:val="00857D30"/>
    <w:rsid w:val="00861B88"/>
    <w:rsid w:val="00861F7D"/>
    <w:rsid w:val="00862C05"/>
    <w:rsid w:val="00865802"/>
    <w:rsid w:val="00865FBB"/>
    <w:rsid w:val="00870E1A"/>
    <w:rsid w:val="008724E9"/>
    <w:rsid w:val="008744BC"/>
    <w:rsid w:val="00875709"/>
    <w:rsid w:val="00876C30"/>
    <w:rsid w:val="00882313"/>
    <w:rsid w:val="0088589D"/>
    <w:rsid w:val="00886116"/>
    <w:rsid w:val="0088749D"/>
    <w:rsid w:val="00887CEB"/>
    <w:rsid w:val="00887FDD"/>
    <w:rsid w:val="008909A8"/>
    <w:rsid w:val="00890D42"/>
    <w:rsid w:val="00892CAB"/>
    <w:rsid w:val="00893991"/>
    <w:rsid w:val="008958BB"/>
    <w:rsid w:val="008A01CB"/>
    <w:rsid w:val="008A105A"/>
    <w:rsid w:val="008A1C04"/>
    <w:rsid w:val="008A2779"/>
    <w:rsid w:val="008A3630"/>
    <w:rsid w:val="008A41BA"/>
    <w:rsid w:val="008A4836"/>
    <w:rsid w:val="008A6037"/>
    <w:rsid w:val="008A6F63"/>
    <w:rsid w:val="008B0295"/>
    <w:rsid w:val="008B17B6"/>
    <w:rsid w:val="008B1963"/>
    <w:rsid w:val="008B2732"/>
    <w:rsid w:val="008B37A5"/>
    <w:rsid w:val="008B49B0"/>
    <w:rsid w:val="008B525E"/>
    <w:rsid w:val="008B5D73"/>
    <w:rsid w:val="008B6802"/>
    <w:rsid w:val="008B74D7"/>
    <w:rsid w:val="008C0FE3"/>
    <w:rsid w:val="008C10C5"/>
    <w:rsid w:val="008C1158"/>
    <w:rsid w:val="008C2CB9"/>
    <w:rsid w:val="008C2E48"/>
    <w:rsid w:val="008C57AC"/>
    <w:rsid w:val="008C6582"/>
    <w:rsid w:val="008C6865"/>
    <w:rsid w:val="008D0FF4"/>
    <w:rsid w:val="008D1021"/>
    <w:rsid w:val="008D10EE"/>
    <w:rsid w:val="008D2A54"/>
    <w:rsid w:val="008D489F"/>
    <w:rsid w:val="008D4A72"/>
    <w:rsid w:val="008D76B0"/>
    <w:rsid w:val="008E0F85"/>
    <w:rsid w:val="008E1A89"/>
    <w:rsid w:val="008E1E97"/>
    <w:rsid w:val="008E52F6"/>
    <w:rsid w:val="008E76FC"/>
    <w:rsid w:val="008F2A5A"/>
    <w:rsid w:val="008F398B"/>
    <w:rsid w:val="008F3EF5"/>
    <w:rsid w:val="008F4A59"/>
    <w:rsid w:val="008F50E2"/>
    <w:rsid w:val="008F5B12"/>
    <w:rsid w:val="008F61A4"/>
    <w:rsid w:val="008F673C"/>
    <w:rsid w:val="008F6AAD"/>
    <w:rsid w:val="008F7726"/>
    <w:rsid w:val="00901116"/>
    <w:rsid w:val="00902874"/>
    <w:rsid w:val="00905495"/>
    <w:rsid w:val="00906B13"/>
    <w:rsid w:val="00906CE8"/>
    <w:rsid w:val="009079F8"/>
    <w:rsid w:val="00910AB5"/>
    <w:rsid w:val="00911E91"/>
    <w:rsid w:val="0091312A"/>
    <w:rsid w:val="00913C4B"/>
    <w:rsid w:val="00920992"/>
    <w:rsid w:val="009220F6"/>
    <w:rsid w:val="00923861"/>
    <w:rsid w:val="00924652"/>
    <w:rsid w:val="00924753"/>
    <w:rsid w:val="0092550E"/>
    <w:rsid w:val="009255C6"/>
    <w:rsid w:val="0092599B"/>
    <w:rsid w:val="0092603D"/>
    <w:rsid w:val="0093076F"/>
    <w:rsid w:val="00932748"/>
    <w:rsid w:val="00932AFC"/>
    <w:rsid w:val="0093370A"/>
    <w:rsid w:val="00935D33"/>
    <w:rsid w:val="00936BD2"/>
    <w:rsid w:val="00937A59"/>
    <w:rsid w:val="00940CFF"/>
    <w:rsid w:val="00943EBB"/>
    <w:rsid w:val="00944D3F"/>
    <w:rsid w:val="00945869"/>
    <w:rsid w:val="00945A84"/>
    <w:rsid w:val="00946AF5"/>
    <w:rsid w:val="00947BC9"/>
    <w:rsid w:val="00947F1D"/>
    <w:rsid w:val="0095187E"/>
    <w:rsid w:val="00951DFB"/>
    <w:rsid w:val="00953603"/>
    <w:rsid w:val="00953663"/>
    <w:rsid w:val="00953808"/>
    <w:rsid w:val="009544BF"/>
    <w:rsid w:val="0095619B"/>
    <w:rsid w:val="00956A06"/>
    <w:rsid w:val="00961136"/>
    <w:rsid w:val="00962D5A"/>
    <w:rsid w:val="009630F7"/>
    <w:rsid w:val="00963598"/>
    <w:rsid w:val="009659CD"/>
    <w:rsid w:val="0097108B"/>
    <w:rsid w:val="00972B71"/>
    <w:rsid w:val="009733C6"/>
    <w:rsid w:val="00974045"/>
    <w:rsid w:val="00974C39"/>
    <w:rsid w:val="00974F18"/>
    <w:rsid w:val="00974F5F"/>
    <w:rsid w:val="0097510A"/>
    <w:rsid w:val="00975D97"/>
    <w:rsid w:val="00975EF9"/>
    <w:rsid w:val="009773C6"/>
    <w:rsid w:val="009773C8"/>
    <w:rsid w:val="00985433"/>
    <w:rsid w:val="00993077"/>
    <w:rsid w:val="00993876"/>
    <w:rsid w:val="00994286"/>
    <w:rsid w:val="00994CDE"/>
    <w:rsid w:val="00995542"/>
    <w:rsid w:val="00996D2C"/>
    <w:rsid w:val="009A01D0"/>
    <w:rsid w:val="009A71F0"/>
    <w:rsid w:val="009A7B57"/>
    <w:rsid w:val="009A7D0E"/>
    <w:rsid w:val="009B1124"/>
    <w:rsid w:val="009B256C"/>
    <w:rsid w:val="009B36B4"/>
    <w:rsid w:val="009B4484"/>
    <w:rsid w:val="009B59F1"/>
    <w:rsid w:val="009B7A1B"/>
    <w:rsid w:val="009B7D9D"/>
    <w:rsid w:val="009C047F"/>
    <w:rsid w:val="009C2700"/>
    <w:rsid w:val="009C292F"/>
    <w:rsid w:val="009C2B88"/>
    <w:rsid w:val="009C51CB"/>
    <w:rsid w:val="009C5E75"/>
    <w:rsid w:val="009C6D3B"/>
    <w:rsid w:val="009D09F7"/>
    <w:rsid w:val="009D1EAA"/>
    <w:rsid w:val="009D2856"/>
    <w:rsid w:val="009D38D4"/>
    <w:rsid w:val="009D3992"/>
    <w:rsid w:val="009D471F"/>
    <w:rsid w:val="009D5641"/>
    <w:rsid w:val="009E1C6C"/>
    <w:rsid w:val="009E1D25"/>
    <w:rsid w:val="009E3036"/>
    <w:rsid w:val="009E4E14"/>
    <w:rsid w:val="009E59D2"/>
    <w:rsid w:val="009E5DD7"/>
    <w:rsid w:val="009E61D2"/>
    <w:rsid w:val="009F071D"/>
    <w:rsid w:val="009F0AC9"/>
    <w:rsid w:val="009F6717"/>
    <w:rsid w:val="009F7D5C"/>
    <w:rsid w:val="00A0051E"/>
    <w:rsid w:val="00A00DB1"/>
    <w:rsid w:val="00A0168B"/>
    <w:rsid w:val="00A02135"/>
    <w:rsid w:val="00A0262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21540"/>
    <w:rsid w:val="00A23505"/>
    <w:rsid w:val="00A236DE"/>
    <w:rsid w:val="00A23DF6"/>
    <w:rsid w:val="00A2439F"/>
    <w:rsid w:val="00A25439"/>
    <w:rsid w:val="00A25CB7"/>
    <w:rsid w:val="00A26AB9"/>
    <w:rsid w:val="00A30DD5"/>
    <w:rsid w:val="00A312EA"/>
    <w:rsid w:val="00A32176"/>
    <w:rsid w:val="00A33692"/>
    <w:rsid w:val="00A35661"/>
    <w:rsid w:val="00A36666"/>
    <w:rsid w:val="00A3777B"/>
    <w:rsid w:val="00A3782A"/>
    <w:rsid w:val="00A42FC9"/>
    <w:rsid w:val="00A445B7"/>
    <w:rsid w:val="00A51DE9"/>
    <w:rsid w:val="00A52110"/>
    <w:rsid w:val="00A527CF"/>
    <w:rsid w:val="00A52DB1"/>
    <w:rsid w:val="00A534B8"/>
    <w:rsid w:val="00A5363A"/>
    <w:rsid w:val="00A53ADC"/>
    <w:rsid w:val="00A53C6D"/>
    <w:rsid w:val="00A54380"/>
    <w:rsid w:val="00A54A40"/>
    <w:rsid w:val="00A5584C"/>
    <w:rsid w:val="00A61213"/>
    <w:rsid w:val="00A616EF"/>
    <w:rsid w:val="00A62B8C"/>
    <w:rsid w:val="00A63CD1"/>
    <w:rsid w:val="00A6503E"/>
    <w:rsid w:val="00A65969"/>
    <w:rsid w:val="00A65EB5"/>
    <w:rsid w:val="00A667E4"/>
    <w:rsid w:val="00A6703B"/>
    <w:rsid w:val="00A7035E"/>
    <w:rsid w:val="00A70748"/>
    <w:rsid w:val="00A70C72"/>
    <w:rsid w:val="00A71F05"/>
    <w:rsid w:val="00A71FCD"/>
    <w:rsid w:val="00A72F25"/>
    <w:rsid w:val="00A73E33"/>
    <w:rsid w:val="00A7439E"/>
    <w:rsid w:val="00A76648"/>
    <w:rsid w:val="00A81205"/>
    <w:rsid w:val="00A81CC4"/>
    <w:rsid w:val="00A824E5"/>
    <w:rsid w:val="00A8260B"/>
    <w:rsid w:val="00A836BC"/>
    <w:rsid w:val="00A83AB2"/>
    <w:rsid w:val="00A85BAC"/>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7AF"/>
    <w:rsid w:val="00AA0B04"/>
    <w:rsid w:val="00AA1595"/>
    <w:rsid w:val="00AA3B1A"/>
    <w:rsid w:val="00AA4173"/>
    <w:rsid w:val="00AA4316"/>
    <w:rsid w:val="00AA43DA"/>
    <w:rsid w:val="00AA45BF"/>
    <w:rsid w:val="00AA4B1A"/>
    <w:rsid w:val="00AA5D9B"/>
    <w:rsid w:val="00AA6699"/>
    <w:rsid w:val="00AB037A"/>
    <w:rsid w:val="00AB1880"/>
    <w:rsid w:val="00AB19BA"/>
    <w:rsid w:val="00AB1D6A"/>
    <w:rsid w:val="00AB2718"/>
    <w:rsid w:val="00AB3DBB"/>
    <w:rsid w:val="00AB4731"/>
    <w:rsid w:val="00AB620F"/>
    <w:rsid w:val="00AB6A15"/>
    <w:rsid w:val="00AB6AFA"/>
    <w:rsid w:val="00AB7814"/>
    <w:rsid w:val="00AB7F2D"/>
    <w:rsid w:val="00AC03EB"/>
    <w:rsid w:val="00AC122A"/>
    <w:rsid w:val="00AC14F1"/>
    <w:rsid w:val="00AC195F"/>
    <w:rsid w:val="00AC2BE1"/>
    <w:rsid w:val="00AC3BD2"/>
    <w:rsid w:val="00AC406A"/>
    <w:rsid w:val="00AC413C"/>
    <w:rsid w:val="00AC44C3"/>
    <w:rsid w:val="00AC547C"/>
    <w:rsid w:val="00AC5679"/>
    <w:rsid w:val="00AC6437"/>
    <w:rsid w:val="00AC7D8F"/>
    <w:rsid w:val="00AC7E2E"/>
    <w:rsid w:val="00AD0891"/>
    <w:rsid w:val="00AD1265"/>
    <w:rsid w:val="00AD25B9"/>
    <w:rsid w:val="00AE1BD6"/>
    <w:rsid w:val="00AE1D46"/>
    <w:rsid w:val="00AE6003"/>
    <w:rsid w:val="00AE624F"/>
    <w:rsid w:val="00AE6B99"/>
    <w:rsid w:val="00AE6BEC"/>
    <w:rsid w:val="00AE6C7E"/>
    <w:rsid w:val="00AE7040"/>
    <w:rsid w:val="00AF0702"/>
    <w:rsid w:val="00AF0AA5"/>
    <w:rsid w:val="00AF0B3A"/>
    <w:rsid w:val="00AF0EBE"/>
    <w:rsid w:val="00AF0EFB"/>
    <w:rsid w:val="00AF13E6"/>
    <w:rsid w:val="00AF2458"/>
    <w:rsid w:val="00AF2889"/>
    <w:rsid w:val="00AF2C5F"/>
    <w:rsid w:val="00AF498B"/>
    <w:rsid w:val="00AF5A98"/>
    <w:rsid w:val="00AF5EF9"/>
    <w:rsid w:val="00AF68C7"/>
    <w:rsid w:val="00AF75BE"/>
    <w:rsid w:val="00AF79C9"/>
    <w:rsid w:val="00AF7E41"/>
    <w:rsid w:val="00B0168B"/>
    <w:rsid w:val="00B01BBF"/>
    <w:rsid w:val="00B01D79"/>
    <w:rsid w:val="00B02A47"/>
    <w:rsid w:val="00B036AC"/>
    <w:rsid w:val="00B038D8"/>
    <w:rsid w:val="00B052E0"/>
    <w:rsid w:val="00B1176B"/>
    <w:rsid w:val="00B11D18"/>
    <w:rsid w:val="00B127B0"/>
    <w:rsid w:val="00B13407"/>
    <w:rsid w:val="00B13F7B"/>
    <w:rsid w:val="00B14629"/>
    <w:rsid w:val="00B151D8"/>
    <w:rsid w:val="00B15C8E"/>
    <w:rsid w:val="00B166DE"/>
    <w:rsid w:val="00B1780E"/>
    <w:rsid w:val="00B1781D"/>
    <w:rsid w:val="00B217B8"/>
    <w:rsid w:val="00B2243A"/>
    <w:rsid w:val="00B228FE"/>
    <w:rsid w:val="00B22B1C"/>
    <w:rsid w:val="00B230E1"/>
    <w:rsid w:val="00B23940"/>
    <w:rsid w:val="00B240C6"/>
    <w:rsid w:val="00B24E42"/>
    <w:rsid w:val="00B25A51"/>
    <w:rsid w:val="00B25F29"/>
    <w:rsid w:val="00B2631A"/>
    <w:rsid w:val="00B26CD2"/>
    <w:rsid w:val="00B26E42"/>
    <w:rsid w:val="00B274DC"/>
    <w:rsid w:val="00B27829"/>
    <w:rsid w:val="00B31F0D"/>
    <w:rsid w:val="00B33DDE"/>
    <w:rsid w:val="00B33FB0"/>
    <w:rsid w:val="00B34C23"/>
    <w:rsid w:val="00B34E48"/>
    <w:rsid w:val="00B40580"/>
    <w:rsid w:val="00B40F7E"/>
    <w:rsid w:val="00B4180E"/>
    <w:rsid w:val="00B42C03"/>
    <w:rsid w:val="00B44562"/>
    <w:rsid w:val="00B45A2B"/>
    <w:rsid w:val="00B50F4A"/>
    <w:rsid w:val="00B51B73"/>
    <w:rsid w:val="00B5299E"/>
    <w:rsid w:val="00B53074"/>
    <w:rsid w:val="00B60EF2"/>
    <w:rsid w:val="00B6105C"/>
    <w:rsid w:val="00B61FFB"/>
    <w:rsid w:val="00B6501B"/>
    <w:rsid w:val="00B66076"/>
    <w:rsid w:val="00B67D0C"/>
    <w:rsid w:val="00B72011"/>
    <w:rsid w:val="00B72356"/>
    <w:rsid w:val="00B7236D"/>
    <w:rsid w:val="00B74D31"/>
    <w:rsid w:val="00B751A1"/>
    <w:rsid w:val="00B778BE"/>
    <w:rsid w:val="00B80FBA"/>
    <w:rsid w:val="00B81584"/>
    <w:rsid w:val="00B815D5"/>
    <w:rsid w:val="00B84CE8"/>
    <w:rsid w:val="00B87F33"/>
    <w:rsid w:val="00B90070"/>
    <w:rsid w:val="00B91320"/>
    <w:rsid w:val="00B921CE"/>
    <w:rsid w:val="00B92A79"/>
    <w:rsid w:val="00B92F62"/>
    <w:rsid w:val="00B95152"/>
    <w:rsid w:val="00B952FB"/>
    <w:rsid w:val="00B971FD"/>
    <w:rsid w:val="00BA1999"/>
    <w:rsid w:val="00BA1DE6"/>
    <w:rsid w:val="00BA1EBC"/>
    <w:rsid w:val="00BA2954"/>
    <w:rsid w:val="00BA328A"/>
    <w:rsid w:val="00BA374C"/>
    <w:rsid w:val="00BA40B3"/>
    <w:rsid w:val="00BA47A1"/>
    <w:rsid w:val="00BA5659"/>
    <w:rsid w:val="00BA5BAD"/>
    <w:rsid w:val="00BA6299"/>
    <w:rsid w:val="00BA649A"/>
    <w:rsid w:val="00BA7B4D"/>
    <w:rsid w:val="00BB0418"/>
    <w:rsid w:val="00BB05C1"/>
    <w:rsid w:val="00BB18BD"/>
    <w:rsid w:val="00BB1A99"/>
    <w:rsid w:val="00BB3E9A"/>
    <w:rsid w:val="00BB674F"/>
    <w:rsid w:val="00BB6764"/>
    <w:rsid w:val="00BB69AD"/>
    <w:rsid w:val="00BB6E1C"/>
    <w:rsid w:val="00BB739E"/>
    <w:rsid w:val="00BC019B"/>
    <w:rsid w:val="00BC100F"/>
    <w:rsid w:val="00BC335D"/>
    <w:rsid w:val="00BC5ABD"/>
    <w:rsid w:val="00BC6BDA"/>
    <w:rsid w:val="00BC6DAD"/>
    <w:rsid w:val="00BD10C8"/>
    <w:rsid w:val="00BD16E8"/>
    <w:rsid w:val="00BD255E"/>
    <w:rsid w:val="00BD2C6A"/>
    <w:rsid w:val="00BD7AC5"/>
    <w:rsid w:val="00BD7F4D"/>
    <w:rsid w:val="00BE19B8"/>
    <w:rsid w:val="00BE2B7F"/>
    <w:rsid w:val="00BE2C75"/>
    <w:rsid w:val="00BE369D"/>
    <w:rsid w:val="00BE3B36"/>
    <w:rsid w:val="00BE4D03"/>
    <w:rsid w:val="00BE5CEA"/>
    <w:rsid w:val="00BE7017"/>
    <w:rsid w:val="00BE788D"/>
    <w:rsid w:val="00BE7906"/>
    <w:rsid w:val="00BE798B"/>
    <w:rsid w:val="00BF0969"/>
    <w:rsid w:val="00BF108E"/>
    <w:rsid w:val="00BF15F0"/>
    <w:rsid w:val="00BF1BD6"/>
    <w:rsid w:val="00BF3658"/>
    <w:rsid w:val="00BF3F9C"/>
    <w:rsid w:val="00BF49B0"/>
    <w:rsid w:val="00C00F72"/>
    <w:rsid w:val="00C01D3E"/>
    <w:rsid w:val="00C01DDE"/>
    <w:rsid w:val="00C03FFD"/>
    <w:rsid w:val="00C04D10"/>
    <w:rsid w:val="00C0606C"/>
    <w:rsid w:val="00C07FDC"/>
    <w:rsid w:val="00C141C9"/>
    <w:rsid w:val="00C15BA8"/>
    <w:rsid w:val="00C20D21"/>
    <w:rsid w:val="00C21E75"/>
    <w:rsid w:val="00C227E6"/>
    <w:rsid w:val="00C22D7A"/>
    <w:rsid w:val="00C23D65"/>
    <w:rsid w:val="00C24009"/>
    <w:rsid w:val="00C25FD4"/>
    <w:rsid w:val="00C26647"/>
    <w:rsid w:val="00C26C41"/>
    <w:rsid w:val="00C26CA2"/>
    <w:rsid w:val="00C30062"/>
    <w:rsid w:val="00C31072"/>
    <w:rsid w:val="00C3162E"/>
    <w:rsid w:val="00C32603"/>
    <w:rsid w:val="00C330BA"/>
    <w:rsid w:val="00C3343D"/>
    <w:rsid w:val="00C35711"/>
    <w:rsid w:val="00C36C10"/>
    <w:rsid w:val="00C410D1"/>
    <w:rsid w:val="00C4672B"/>
    <w:rsid w:val="00C468E9"/>
    <w:rsid w:val="00C4747B"/>
    <w:rsid w:val="00C50971"/>
    <w:rsid w:val="00C518BE"/>
    <w:rsid w:val="00C52BC8"/>
    <w:rsid w:val="00C52E2C"/>
    <w:rsid w:val="00C55424"/>
    <w:rsid w:val="00C55F54"/>
    <w:rsid w:val="00C565EB"/>
    <w:rsid w:val="00C5770E"/>
    <w:rsid w:val="00C6150A"/>
    <w:rsid w:val="00C620D3"/>
    <w:rsid w:val="00C62E1D"/>
    <w:rsid w:val="00C6410B"/>
    <w:rsid w:val="00C64265"/>
    <w:rsid w:val="00C6448D"/>
    <w:rsid w:val="00C64564"/>
    <w:rsid w:val="00C64BEF"/>
    <w:rsid w:val="00C66CBE"/>
    <w:rsid w:val="00C67342"/>
    <w:rsid w:val="00C67743"/>
    <w:rsid w:val="00C7227F"/>
    <w:rsid w:val="00C7284E"/>
    <w:rsid w:val="00C7417D"/>
    <w:rsid w:val="00C76859"/>
    <w:rsid w:val="00C76AFB"/>
    <w:rsid w:val="00C76C16"/>
    <w:rsid w:val="00C80F89"/>
    <w:rsid w:val="00C813DE"/>
    <w:rsid w:val="00C83623"/>
    <w:rsid w:val="00C836D5"/>
    <w:rsid w:val="00C842A2"/>
    <w:rsid w:val="00C86BA3"/>
    <w:rsid w:val="00C93A92"/>
    <w:rsid w:val="00C93C59"/>
    <w:rsid w:val="00C95C76"/>
    <w:rsid w:val="00C9765D"/>
    <w:rsid w:val="00CA1CD7"/>
    <w:rsid w:val="00CA34C2"/>
    <w:rsid w:val="00CA3920"/>
    <w:rsid w:val="00CA4517"/>
    <w:rsid w:val="00CA46AB"/>
    <w:rsid w:val="00CA58F5"/>
    <w:rsid w:val="00CA66C7"/>
    <w:rsid w:val="00CA6EA2"/>
    <w:rsid w:val="00CB01EE"/>
    <w:rsid w:val="00CB0364"/>
    <w:rsid w:val="00CB0980"/>
    <w:rsid w:val="00CB1C0A"/>
    <w:rsid w:val="00CB21EF"/>
    <w:rsid w:val="00CB3948"/>
    <w:rsid w:val="00CB4AA2"/>
    <w:rsid w:val="00CB4B18"/>
    <w:rsid w:val="00CB4C95"/>
    <w:rsid w:val="00CB7D30"/>
    <w:rsid w:val="00CC05D4"/>
    <w:rsid w:val="00CC494D"/>
    <w:rsid w:val="00CC5012"/>
    <w:rsid w:val="00CC54C1"/>
    <w:rsid w:val="00CC5A0C"/>
    <w:rsid w:val="00CD1356"/>
    <w:rsid w:val="00CD1698"/>
    <w:rsid w:val="00CD25EE"/>
    <w:rsid w:val="00CD2DE7"/>
    <w:rsid w:val="00CD51E0"/>
    <w:rsid w:val="00CD71C8"/>
    <w:rsid w:val="00CE1191"/>
    <w:rsid w:val="00CE177A"/>
    <w:rsid w:val="00CE213F"/>
    <w:rsid w:val="00CE2279"/>
    <w:rsid w:val="00CE2B79"/>
    <w:rsid w:val="00CE2C00"/>
    <w:rsid w:val="00CE2D60"/>
    <w:rsid w:val="00CE3C9A"/>
    <w:rsid w:val="00CE4CD5"/>
    <w:rsid w:val="00CE6381"/>
    <w:rsid w:val="00CE6AC0"/>
    <w:rsid w:val="00CF1CEF"/>
    <w:rsid w:val="00CF350E"/>
    <w:rsid w:val="00CF3F70"/>
    <w:rsid w:val="00CF69AC"/>
    <w:rsid w:val="00CF723C"/>
    <w:rsid w:val="00CF7693"/>
    <w:rsid w:val="00D017BE"/>
    <w:rsid w:val="00D01B03"/>
    <w:rsid w:val="00D031D0"/>
    <w:rsid w:val="00D035A9"/>
    <w:rsid w:val="00D047F3"/>
    <w:rsid w:val="00D04B61"/>
    <w:rsid w:val="00D063A9"/>
    <w:rsid w:val="00D07096"/>
    <w:rsid w:val="00D10A68"/>
    <w:rsid w:val="00D11C81"/>
    <w:rsid w:val="00D1208F"/>
    <w:rsid w:val="00D133EA"/>
    <w:rsid w:val="00D20B0D"/>
    <w:rsid w:val="00D24132"/>
    <w:rsid w:val="00D24153"/>
    <w:rsid w:val="00D24548"/>
    <w:rsid w:val="00D26276"/>
    <w:rsid w:val="00D26E98"/>
    <w:rsid w:val="00D27718"/>
    <w:rsid w:val="00D27F96"/>
    <w:rsid w:val="00D30081"/>
    <w:rsid w:val="00D30C4A"/>
    <w:rsid w:val="00D31AC2"/>
    <w:rsid w:val="00D35DA5"/>
    <w:rsid w:val="00D41B5E"/>
    <w:rsid w:val="00D41E2F"/>
    <w:rsid w:val="00D42D09"/>
    <w:rsid w:val="00D4301D"/>
    <w:rsid w:val="00D4450E"/>
    <w:rsid w:val="00D457F1"/>
    <w:rsid w:val="00D45994"/>
    <w:rsid w:val="00D45CE3"/>
    <w:rsid w:val="00D47FA2"/>
    <w:rsid w:val="00D504AF"/>
    <w:rsid w:val="00D53FF7"/>
    <w:rsid w:val="00D54A7A"/>
    <w:rsid w:val="00D553ED"/>
    <w:rsid w:val="00D5549E"/>
    <w:rsid w:val="00D56886"/>
    <w:rsid w:val="00D57009"/>
    <w:rsid w:val="00D60528"/>
    <w:rsid w:val="00D6182B"/>
    <w:rsid w:val="00D65FAC"/>
    <w:rsid w:val="00D65FF6"/>
    <w:rsid w:val="00D71451"/>
    <w:rsid w:val="00D72441"/>
    <w:rsid w:val="00D72ADC"/>
    <w:rsid w:val="00D72BA6"/>
    <w:rsid w:val="00D7397C"/>
    <w:rsid w:val="00D74B2C"/>
    <w:rsid w:val="00D753F1"/>
    <w:rsid w:val="00D8005B"/>
    <w:rsid w:val="00D8103B"/>
    <w:rsid w:val="00D8163E"/>
    <w:rsid w:val="00D81CB6"/>
    <w:rsid w:val="00D83F66"/>
    <w:rsid w:val="00D84D51"/>
    <w:rsid w:val="00D865D8"/>
    <w:rsid w:val="00D8698C"/>
    <w:rsid w:val="00D86CE5"/>
    <w:rsid w:val="00D8746E"/>
    <w:rsid w:val="00D87AF6"/>
    <w:rsid w:val="00D90740"/>
    <w:rsid w:val="00D951D2"/>
    <w:rsid w:val="00D9781D"/>
    <w:rsid w:val="00D97CCD"/>
    <w:rsid w:val="00DA11D1"/>
    <w:rsid w:val="00DA23DC"/>
    <w:rsid w:val="00DA3DE4"/>
    <w:rsid w:val="00DA51AD"/>
    <w:rsid w:val="00DA5773"/>
    <w:rsid w:val="00DA7373"/>
    <w:rsid w:val="00DB06DD"/>
    <w:rsid w:val="00DB1138"/>
    <w:rsid w:val="00DB28B7"/>
    <w:rsid w:val="00DB40FD"/>
    <w:rsid w:val="00DB5075"/>
    <w:rsid w:val="00DB5BAD"/>
    <w:rsid w:val="00DB733D"/>
    <w:rsid w:val="00DC0027"/>
    <w:rsid w:val="00DC046E"/>
    <w:rsid w:val="00DC0616"/>
    <w:rsid w:val="00DC0B7E"/>
    <w:rsid w:val="00DC1A0D"/>
    <w:rsid w:val="00DC4563"/>
    <w:rsid w:val="00DC644A"/>
    <w:rsid w:val="00DD1BAB"/>
    <w:rsid w:val="00DD1DDF"/>
    <w:rsid w:val="00DD2076"/>
    <w:rsid w:val="00DD209E"/>
    <w:rsid w:val="00DD249B"/>
    <w:rsid w:val="00DD2E59"/>
    <w:rsid w:val="00DD3B2F"/>
    <w:rsid w:val="00DD3C36"/>
    <w:rsid w:val="00DD442C"/>
    <w:rsid w:val="00DD487F"/>
    <w:rsid w:val="00DD521D"/>
    <w:rsid w:val="00DD746E"/>
    <w:rsid w:val="00DD7742"/>
    <w:rsid w:val="00DD7EF3"/>
    <w:rsid w:val="00DE1D2C"/>
    <w:rsid w:val="00DE2B6B"/>
    <w:rsid w:val="00DE2DFD"/>
    <w:rsid w:val="00DE4BCD"/>
    <w:rsid w:val="00DE6595"/>
    <w:rsid w:val="00DF03BB"/>
    <w:rsid w:val="00DF0B13"/>
    <w:rsid w:val="00DF0FD7"/>
    <w:rsid w:val="00DF0FEA"/>
    <w:rsid w:val="00DF12E3"/>
    <w:rsid w:val="00DF1330"/>
    <w:rsid w:val="00DF1E3E"/>
    <w:rsid w:val="00DF1FBB"/>
    <w:rsid w:val="00DF430D"/>
    <w:rsid w:val="00DF5B87"/>
    <w:rsid w:val="00DF6283"/>
    <w:rsid w:val="00DF799F"/>
    <w:rsid w:val="00DF7A05"/>
    <w:rsid w:val="00E006B6"/>
    <w:rsid w:val="00E0080F"/>
    <w:rsid w:val="00E02269"/>
    <w:rsid w:val="00E03F23"/>
    <w:rsid w:val="00E06A26"/>
    <w:rsid w:val="00E06AD6"/>
    <w:rsid w:val="00E07AAE"/>
    <w:rsid w:val="00E07E09"/>
    <w:rsid w:val="00E1233C"/>
    <w:rsid w:val="00E1257B"/>
    <w:rsid w:val="00E13009"/>
    <w:rsid w:val="00E13393"/>
    <w:rsid w:val="00E13B6F"/>
    <w:rsid w:val="00E1697E"/>
    <w:rsid w:val="00E16BBA"/>
    <w:rsid w:val="00E22500"/>
    <w:rsid w:val="00E22F68"/>
    <w:rsid w:val="00E23819"/>
    <w:rsid w:val="00E24FB3"/>
    <w:rsid w:val="00E25068"/>
    <w:rsid w:val="00E2557A"/>
    <w:rsid w:val="00E25D81"/>
    <w:rsid w:val="00E26AF2"/>
    <w:rsid w:val="00E2762E"/>
    <w:rsid w:val="00E30408"/>
    <w:rsid w:val="00E32B86"/>
    <w:rsid w:val="00E33548"/>
    <w:rsid w:val="00E33AC2"/>
    <w:rsid w:val="00E33AD1"/>
    <w:rsid w:val="00E33F8E"/>
    <w:rsid w:val="00E3580C"/>
    <w:rsid w:val="00E35CBE"/>
    <w:rsid w:val="00E3615D"/>
    <w:rsid w:val="00E40516"/>
    <w:rsid w:val="00E405F5"/>
    <w:rsid w:val="00E4083F"/>
    <w:rsid w:val="00E40CC0"/>
    <w:rsid w:val="00E41521"/>
    <w:rsid w:val="00E42B00"/>
    <w:rsid w:val="00E44698"/>
    <w:rsid w:val="00E44F0D"/>
    <w:rsid w:val="00E455F5"/>
    <w:rsid w:val="00E456A8"/>
    <w:rsid w:val="00E47B79"/>
    <w:rsid w:val="00E52AC3"/>
    <w:rsid w:val="00E5309B"/>
    <w:rsid w:val="00E53849"/>
    <w:rsid w:val="00E538D9"/>
    <w:rsid w:val="00E53D0E"/>
    <w:rsid w:val="00E54270"/>
    <w:rsid w:val="00E547ED"/>
    <w:rsid w:val="00E553BF"/>
    <w:rsid w:val="00E554A9"/>
    <w:rsid w:val="00E56197"/>
    <w:rsid w:val="00E56850"/>
    <w:rsid w:val="00E60CAE"/>
    <w:rsid w:val="00E617C1"/>
    <w:rsid w:val="00E61935"/>
    <w:rsid w:val="00E629B8"/>
    <w:rsid w:val="00E6358A"/>
    <w:rsid w:val="00E63CB4"/>
    <w:rsid w:val="00E6495B"/>
    <w:rsid w:val="00E666FB"/>
    <w:rsid w:val="00E6695E"/>
    <w:rsid w:val="00E66A42"/>
    <w:rsid w:val="00E66C0C"/>
    <w:rsid w:val="00E71B13"/>
    <w:rsid w:val="00E71DC2"/>
    <w:rsid w:val="00E72564"/>
    <w:rsid w:val="00E73425"/>
    <w:rsid w:val="00E77E0E"/>
    <w:rsid w:val="00E821D7"/>
    <w:rsid w:val="00E84C75"/>
    <w:rsid w:val="00E87A9C"/>
    <w:rsid w:val="00E87B7D"/>
    <w:rsid w:val="00E9045F"/>
    <w:rsid w:val="00E920C5"/>
    <w:rsid w:val="00E97011"/>
    <w:rsid w:val="00E97303"/>
    <w:rsid w:val="00E978B5"/>
    <w:rsid w:val="00E97D98"/>
    <w:rsid w:val="00EA0048"/>
    <w:rsid w:val="00EA0096"/>
    <w:rsid w:val="00EA0692"/>
    <w:rsid w:val="00EA1466"/>
    <w:rsid w:val="00EA34B8"/>
    <w:rsid w:val="00EA3E7A"/>
    <w:rsid w:val="00EA3FD8"/>
    <w:rsid w:val="00EA4330"/>
    <w:rsid w:val="00EA5EB5"/>
    <w:rsid w:val="00EA5EFF"/>
    <w:rsid w:val="00EA74CD"/>
    <w:rsid w:val="00EB196C"/>
    <w:rsid w:val="00EB2541"/>
    <w:rsid w:val="00EB2A4D"/>
    <w:rsid w:val="00EB574C"/>
    <w:rsid w:val="00EB5D91"/>
    <w:rsid w:val="00EC2100"/>
    <w:rsid w:val="00EC2129"/>
    <w:rsid w:val="00EC24FD"/>
    <w:rsid w:val="00EC2961"/>
    <w:rsid w:val="00EC57DE"/>
    <w:rsid w:val="00EC62DA"/>
    <w:rsid w:val="00EC66F2"/>
    <w:rsid w:val="00ED12BE"/>
    <w:rsid w:val="00ED3597"/>
    <w:rsid w:val="00ED5598"/>
    <w:rsid w:val="00ED5AF8"/>
    <w:rsid w:val="00ED5EA1"/>
    <w:rsid w:val="00ED6B1B"/>
    <w:rsid w:val="00EE02CF"/>
    <w:rsid w:val="00EE0AAC"/>
    <w:rsid w:val="00EE11DA"/>
    <w:rsid w:val="00EE2345"/>
    <w:rsid w:val="00EE2B66"/>
    <w:rsid w:val="00EE417F"/>
    <w:rsid w:val="00EE470A"/>
    <w:rsid w:val="00EE47E7"/>
    <w:rsid w:val="00EE564A"/>
    <w:rsid w:val="00EE58BF"/>
    <w:rsid w:val="00EF132F"/>
    <w:rsid w:val="00EF1652"/>
    <w:rsid w:val="00EF1C0D"/>
    <w:rsid w:val="00EF24DD"/>
    <w:rsid w:val="00EF2C0A"/>
    <w:rsid w:val="00EF5884"/>
    <w:rsid w:val="00EF5A30"/>
    <w:rsid w:val="00EF636C"/>
    <w:rsid w:val="00EF73E1"/>
    <w:rsid w:val="00F00E12"/>
    <w:rsid w:val="00F012B1"/>
    <w:rsid w:val="00F01C3C"/>
    <w:rsid w:val="00F0291D"/>
    <w:rsid w:val="00F029D8"/>
    <w:rsid w:val="00F0706C"/>
    <w:rsid w:val="00F07277"/>
    <w:rsid w:val="00F1181C"/>
    <w:rsid w:val="00F14514"/>
    <w:rsid w:val="00F15C6C"/>
    <w:rsid w:val="00F16673"/>
    <w:rsid w:val="00F1780A"/>
    <w:rsid w:val="00F17D5E"/>
    <w:rsid w:val="00F17FDA"/>
    <w:rsid w:val="00F22455"/>
    <w:rsid w:val="00F23E53"/>
    <w:rsid w:val="00F23E72"/>
    <w:rsid w:val="00F24237"/>
    <w:rsid w:val="00F2523B"/>
    <w:rsid w:val="00F252A7"/>
    <w:rsid w:val="00F264CE"/>
    <w:rsid w:val="00F27082"/>
    <w:rsid w:val="00F271C9"/>
    <w:rsid w:val="00F27246"/>
    <w:rsid w:val="00F274BF"/>
    <w:rsid w:val="00F27A32"/>
    <w:rsid w:val="00F27D23"/>
    <w:rsid w:val="00F314A9"/>
    <w:rsid w:val="00F33539"/>
    <w:rsid w:val="00F345F1"/>
    <w:rsid w:val="00F3462E"/>
    <w:rsid w:val="00F34A8B"/>
    <w:rsid w:val="00F35DF9"/>
    <w:rsid w:val="00F35F9A"/>
    <w:rsid w:val="00F3693E"/>
    <w:rsid w:val="00F36A29"/>
    <w:rsid w:val="00F40CF0"/>
    <w:rsid w:val="00F42046"/>
    <w:rsid w:val="00F4453E"/>
    <w:rsid w:val="00F456DC"/>
    <w:rsid w:val="00F50E37"/>
    <w:rsid w:val="00F5182F"/>
    <w:rsid w:val="00F531FC"/>
    <w:rsid w:val="00F54A4A"/>
    <w:rsid w:val="00F55468"/>
    <w:rsid w:val="00F56EAB"/>
    <w:rsid w:val="00F5753F"/>
    <w:rsid w:val="00F57559"/>
    <w:rsid w:val="00F60D93"/>
    <w:rsid w:val="00F640BE"/>
    <w:rsid w:val="00F64156"/>
    <w:rsid w:val="00F6431A"/>
    <w:rsid w:val="00F64B7F"/>
    <w:rsid w:val="00F65A59"/>
    <w:rsid w:val="00F67361"/>
    <w:rsid w:val="00F679DA"/>
    <w:rsid w:val="00F70979"/>
    <w:rsid w:val="00F70FCE"/>
    <w:rsid w:val="00F71B43"/>
    <w:rsid w:val="00F71F72"/>
    <w:rsid w:val="00F7637F"/>
    <w:rsid w:val="00F766DA"/>
    <w:rsid w:val="00F77BA2"/>
    <w:rsid w:val="00F8053B"/>
    <w:rsid w:val="00F80B74"/>
    <w:rsid w:val="00F81F7D"/>
    <w:rsid w:val="00F82921"/>
    <w:rsid w:val="00F83154"/>
    <w:rsid w:val="00F84107"/>
    <w:rsid w:val="00F87A0D"/>
    <w:rsid w:val="00F90BCB"/>
    <w:rsid w:val="00F923E9"/>
    <w:rsid w:val="00F9259A"/>
    <w:rsid w:val="00F92DC1"/>
    <w:rsid w:val="00F95C6D"/>
    <w:rsid w:val="00F9738A"/>
    <w:rsid w:val="00FA1842"/>
    <w:rsid w:val="00FA3EA5"/>
    <w:rsid w:val="00FA43C2"/>
    <w:rsid w:val="00FA45D4"/>
    <w:rsid w:val="00FA4F5E"/>
    <w:rsid w:val="00FA57ED"/>
    <w:rsid w:val="00FA6A77"/>
    <w:rsid w:val="00FB03BD"/>
    <w:rsid w:val="00FB11A0"/>
    <w:rsid w:val="00FB265B"/>
    <w:rsid w:val="00FB3FE6"/>
    <w:rsid w:val="00FB4C94"/>
    <w:rsid w:val="00FB5CF8"/>
    <w:rsid w:val="00FC4494"/>
    <w:rsid w:val="00FD0974"/>
    <w:rsid w:val="00FD188A"/>
    <w:rsid w:val="00FD1905"/>
    <w:rsid w:val="00FD1C7E"/>
    <w:rsid w:val="00FD4E6D"/>
    <w:rsid w:val="00FD71D1"/>
    <w:rsid w:val="00FE03A0"/>
    <w:rsid w:val="00FE12B4"/>
    <w:rsid w:val="00FE1AD5"/>
    <w:rsid w:val="00FE1E56"/>
    <w:rsid w:val="00FE211E"/>
    <w:rsid w:val="00FE2603"/>
    <w:rsid w:val="00FE3B6E"/>
    <w:rsid w:val="00FE6443"/>
    <w:rsid w:val="00FE6685"/>
    <w:rsid w:val="00FE7213"/>
    <w:rsid w:val="00FF0154"/>
    <w:rsid w:val="00FF20A4"/>
    <w:rsid w:val="00FF425C"/>
    <w:rsid w:val="00FF6597"/>
    <w:rsid w:val="00FF68DD"/>
    <w:rsid w:val="00FF7858"/>
    <w:rsid w:val="013A1130"/>
    <w:rsid w:val="01474512"/>
    <w:rsid w:val="01523DF9"/>
    <w:rsid w:val="01987F9B"/>
    <w:rsid w:val="0199249F"/>
    <w:rsid w:val="021D2E0F"/>
    <w:rsid w:val="02236824"/>
    <w:rsid w:val="022F7BFD"/>
    <w:rsid w:val="028426B0"/>
    <w:rsid w:val="02CE3CE8"/>
    <w:rsid w:val="031B2597"/>
    <w:rsid w:val="039C7F37"/>
    <w:rsid w:val="03AB679F"/>
    <w:rsid w:val="03D012A8"/>
    <w:rsid w:val="03D91E4F"/>
    <w:rsid w:val="03FA36BE"/>
    <w:rsid w:val="0476464C"/>
    <w:rsid w:val="049E3020"/>
    <w:rsid w:val="04BF387D"/>
    <w:rsid w:val="04F92F58"/>
    <w:rsid w:val="057D35B7"/>
    <w:rsid w:val="059B3AAE"/>
    <w:rsid w:val="05C86530"/>
    <w:rsid w:val="062B4BF2"/>
    <w:rsid w:val="0686670B"/>
    <w:rsid w:val="07464F13"/>
    <w:rsid w:val="076013E0"/>
    <w:rsid w:val="07A51DF4"/>
    <w:rsid w:val="07CE1C8F"/>
    <w:rsid w:val="07F54BC0"/>
    <w:rsid w:val="082008CE"/>
    <w:rsid w:val="084E3529"/>
    <w:rsid w:val="08732BE6"/>
    <w:rsid w:val="08B76C41"/>
    <w:rsid w:val="09255B96"/>
    <w:rsid w:val="096B180A"/>
    <w:rsid w:val="09705438"/>
    <w:rsid w:val="09A815EF"/>
    <w:rsid w:val="09BF0A5F"/>
    <w:rsid w:val="09E7370B"/>
    <w:rsid w:val="09FF14CE"/>
    <w:rsid w:val="0A5343DB"/>
    <w:rsid w:val="0A800311"/>
    <w:rsid w:val="0AFC7CB8"/>
    <w:rsid w:val="0B6D3222"/>
    <w:rsid w:val="0BCF050F"/>
    <w:rsid w:val="0C0C6662"/>
    <w:rsid w:val="0C524D59"/>
    <w:rsid w:val="0C7D341D"/>
    <w:rsid w:val="0C9730CF"/>
    <w:rsid w:val="0D0A5D09"/>
    <w:rsid w:val="0D533931"/>
    <w:rsid w:val="0D7149E5"/>
    <w:rsid w:val="0D8060B5"/>
    <w:rsid w:val="0E0A7653"/>
    <w:rsid w:val="0EFF2F46"/>
    <w:rsid w:val="0FC026C0"/>
    <w:rsid w:val="0FCC3F23"/>
    <w:rsid w:val="0FF120E4"/>
    <w:rsid w:val="0FFE7241"/>
    <w:rsid w:val="10435247"/>
    <w:rsid w:val="10817ED7"/>
    <w:rsid w:val="11647498"/>
    <w:rsid w:val="119261FD"/>
    <w:rsid w:val="11D3202B"/>
    <w:rsid w:val="125E6002"/>
    <w:rsid w:val="12F05378"/>
    <w:rsid w:val="130A06A1"/>
    <w:rsid w:val="132C75E5"/>
    <w:rsid w:val="142E67A3"/>
    <w:rsid w:val="14DB3B34"/>
    <w:rsid w:val="154A5F66"/>
    <w:rsid w:val="15722121"/>
    <w:rsid w:val="157718E7"/>
    <w:rsid w:val="160E074B"/>
    <w:rsid w:val="161533F4"/>
    <w:rsid w:val="166951DF"/>
    <w:rsid w:val="168A7548"/>
    <w:rsid w:val="168E35F3"/>
    <w:rsid w:val="16A70C72"/>
    <w:rsid w:val="16B1625D"/>
    <w:rsid w:val="16D704B9"/>
    <w:rsid w:val="170C0021"/>
    <w:rsid w:val="17257FA8"/>
    <w:rsid w:val="177B463A"/>
    <w:rsid w:val="178072CB"/>
    <w:rsid w:val="17B3369C"/>
    <w:rsid w:val="17BD0859"/>
    <w:rsid w:val="17C5097C"/>
    <w:rsid w:val="17FF4365"/>
    <w:rsid w:val="1802386B"/>
    <w:rsid w:val="180A1702"/>
    <w:rsid w:val="188B4D16"/>
    <w:rsid w:val="18C01770"/>
    <w:rsid w:val="18EF3850"/>
    <w:rsid w:val="194444AB"/>
    <w:rsid w:val="1A4C04ED"/>
    <w:rsid w:val="1A5A26A9"/>
    <w:rsid w:val="1A5D6BD9"/>
    <w:rsid w:val="1A7A1C8B"/>
    <w:rsid w:val="1AA33CBC"/>
    <w:rsid w:val="1AF3530E"/>
    <w:rsid w:val="1AF95386"/>
    <w:rsid w:val="1B30632B"/>
    <w:rsid w:val="1B3D3845"/>
    <w:rsid w:val="1BE95AA6"/>
    <w:rsid w:val="1C061A06"/>
    <w:rsid w:val="1C890994"/>
    <w:rsid w:val="1D6C20DF"/>
    <w:rsid w:val="1E037E14"/>
    <w:rsid w:val="1E491587"/>
    <w:rsid w:val="1EBF464D"/>
    <w:rsid w:val="1EC835CB"/>
    <w:rsid w:val="1EF359CA"/>
    <w:rsid w:val="1EF965D9"/>
    <w:rsid w:val="1F2C7FBC"/>
    <w:rsid w:val="1F39118A"/>
    <w:rsid w:val="1FB61CE7"/>
    <w:rsid w:val="1FD30390"/>
    <w:rsid w:val="1FF76471"/>
    <w:rsid w:val="201574A1"/>
    <w:rsid w:val="2081415E"/>
    <w:rsid w:val="20822DE8"/>
    <w:rsid w:val="20CC07CE"/>
    <w:rsid w:val="20E44243"/>
    <w:rsid w:val="217D48CC"/>
    <w:rsid w:val="21913DBA"/>
    <w:rsid w:val="22564C3B"/>
    <w:rsid w:val="227117F0"/>
    <w:rsid w:val="22DD4B35"/>
    <w:rsid w:val="22E91128"/>
    <w:rsid w:val="23036AAD"/>
    <w:rsid w:val="238A119C"/>
    <w:rsid w:val="238C2A3A"/>
    <w:rsid w:val="239B2437"/>
    <w:rsid w:val="23CD1FB5"/>
    <w:rsid w:val="24287BD3"/>
    <w:rsid w:val="242900F1"/>
    <w:rsid w:val="248F341C"/>
    <w:rsid w:val="24983B90"/>
    <w:rsid w:val="24AC7022"/>
    <w:rsid w:val="24E21EE4"/>
    <w:rsid w:val="250658E9"/>
    <w:rsid w:val="256955C8"/>
    <w:rsid w:val="264F7787"/>
    <w:rsid w:val="265E792E"/>
    <w:rsid w:val="26647764"/>
    <w:rsid w:val="26C80BA3"/>
    <w:rsid w:val="26D870FF"/>
    <w:rsid w:val="26DF6E99"/>
    <w:rsid w:val="27054C08"/>
    <w:rsid w:val="273C3CFE"/>
    <w:rsid w:val="27535BB4"/>
    <w:rsid w:val="2760332F"/>
    <w:rsid w:val="282E1B0E"/>
    <w:rsid w:val="28C009E2"/>
    <w:rsid w:val="28F54245"/>
    <w:rsid w:val="28F62AEF"/>
    <w:rsid w:val="290943EE"/>
    <w:rsid w:val="2924153A"/>
    <w:rsid w:val="29992D97"/>
    <w:rsid w:val="29E83B4C"/>
    <w:rsid w:val="2A5B30DB"/>
    <w:rsid w:val="2A830702"/>
    <w:rsid w:val="2ACC1E93"/>
    <w:rsid w:val="2AFD3C60"/>
    <w:rsid w:val="2B780363"/>
    <w:rsid w:val="2BA2006A"/>
    <w:rsid w:val="2C05252B"/>
    <w:rsid w:val="2C0F4C44"/>
    <w:rsid w:val="2C212A6C"/>
    <w:rsid w:val="2C8B6B16"/>
    <w:rsid w:val="2D325130"/>
    <w:rsid w:val="2D4A1A33"/>
    <w:rsid w:val="2D940F78"/>
    <w:rsid w:val="2DC74A02"/>
    <w:rsid w:val="2DDB2055"/>
    <w:rsid w:val="2E3363CD"/>
    <w:rsid w:val="2E5D662D"/>
    <w:rsid w:val="2E674D98"/>
    <w:rsid w:val="2E8F1346"/>
    <w:rsid w:val="2EE60A95"/>
    <w:rsid w:val="2F136099"/>
    <w:rsid w:val="2F3B15D1"/>
    <w:rsid w:val="2F7F7437"/>
    <w:rsid w:val="2FD67739"/>
    <w:rsid w:val="2FEE31C8"/>
    <w:rsid w:val="30335B2F"/>
    <w:rsid w:val="307321CD"/>
    <w:rsid w:val="30830218"/>
    <w:rsid w:val="30C52AF8"/>
    <w:rsid w:val="31195BDD"/>
    <w:rsid w:val="31230662"/>
    <w:rsid w:val="31552BA5"/>
    <w:rsid w:val="31626EEC"/>
    <w:rsid w:val="31745800"/>
    <w:rsid w:val="31A73674"/>
    <w:rsid w:val="31BA1499"/>
    <w:rsid w:val="31E53686"/>
    <w:rsid w:val="31EC0151"/>
    <w:rsid w:val="32501FA9"/>
    <w:rsid w:val="32556B94"/>
    <w:rsid w:val="32862880"/>
    <w:rsid w:val="333333BF"/>
    <w:rsid w:val="339300E8"/>
    <w:rsid w:val="33C51F57"/>
    <w:rsid w:val="33E46558"/>
    <w:rsid w:val="3408170F"/>
    <w:rsid w:val="341F5ABD"/>
    <w:rsid w:val="342C1FFE"/>
    <w:rsid w:val="34621F09"/>
    <w:rsid w:val="34D74C20"/>
    <w:rsid w:val="34E01A43"/>
    <w:rsid w:val="35254D3E"/>
    <w:rsid w:val="353051D1"/>
    <w:rsid w:val="35D63E76"/>
    <w:rsid w:val="366B53A7"/>
    <w:rsid w:val="36937331"/>
    <w:rsid w:val="36B55F6B"/>
    <w:rsid w:val="37316B00"/>
    <w:rsid w:val="37396ED7"/>
    <w:rsid w:val="37E80F39"/>
    <w:rsid w:val="37F41BB3"/>
    <w:rsid w:val="38157B80"/>
    <w:rsid w:val="382F5281"/>
    <w:rsid w:val="38455D28"/>
    <w:rsid w:val="387F233A"/>
    <w:rsid w:val="38CD18D2"/>
    <w:rsid w:val="390631BB"/>
    <w:rsid w:val="393E3AA7"/>
    <w:rsid w:val="39B1799E"/>
    <w:rsid w:val="3A496F92"/>
    <w:rsid w:val="3A631EF1"/>
    <w:rsid w:val="3A8C029D"/>
    <w:rsid w:val="3AF37543"/>
    <w:rsid w:val="3B556533"/>
    <w:rsid w:val="3B7D4803"/>
    <w:rsid w:val="3BBC0B3B"/>
    <w:rsid w:val="3BDB63DE"/>
    <w:rsid w:val="3BF3016A"/>
    <w:rsid w:val="3C022718"/>
    <w:rsid w:val="3C5A6193"/>
    <w:rsid w:val="3CA27467"/>
    <w:rsid w:val="3CEB1852"/>
    <w:rsid w:val="3D0F5AFE"/>
    <w:rsid w:val="3DD63BA2"/>
    <w:rsid w:val="3E5D33E1"/>
    <w:rsid w:val="3EC035FB"/>
    <w:rsid w:val="3EEB4FDD"/>
    <w:rsid w:val="3F5102FC"/>
    <w:rsid w:val="3F662721"/>
    <w:rsid w:val="3F83211A"/>
    <w:rsid w:val="3F9D3E1B"/>
    <w:rsid w:val="3F9F114C"/>
    <w:rsid w:val="3FBE237E"/>
    <w:rsid w:val="3FC93765"/>
    <w:rsid w:val="3FD008F7"/>
    <w:rsid w:val="3FDC2B95"/>
    <w:rsid w:val="3FF4530C"/>
    <w:rsid w:val="4062059F"/>
    <w:rsid w:val="41122B16"/>
    <w:rsid w:val="414D4B37"/>
    <w:rsid w:val="416870FB"/>
    <w:rsid w:val="41853C71"/>
    <w:rsid w:val="418E7238"/>
    <w:rsid w:val="41CE7D37"/>
    <w:rsid w:val="41FA15A4"/>
    <w:rsid w:val="420654BB"/>
    <w:rsid w:val="42355F51"/>
    <w:rsid w:val="42465FDE"/>
    <w:rsid w:val="427A7996"/>
    <w:rsid w:val="42884742"/>
    <w:rsid w:val="42AE5AE3"/>
    <w:rsid w:val="435A19B8"/>
    <w:rsid w:val="43B97087"/>
    <w:rsid w:val="444075FB"/>
    <w:rsid w:val="44BE65E0"/>
    <w:rsid w:val="44C94C13"/>
    <w:rsid w:val="45045AC7"/>
    <w:rsid w:val="450B72EF"/>
    <w:rsid w:val="457B3DDD"/>
    <w:rsid w:val="458E64E3"/>
    <w:rsid w:val="45903CB6"/>
    <w:rsid w:val="45A06261"/>
    <w:rsid w:val="46535959"/>
    <w:rsid w:val="46605EB4"/>
    <w:rsid w:val="46871768"/>
    <w:rsid w:val="46F507CC"/>
    <w:rsid w:val="471D5D1F"/>
    <w:rsid w:val="472A4DB0"/>
    <w:rsid w:val="4738342D"/>
    <w:rsid w:val="48506B8D"/>
    <w:rsid w:val="486C6C0C"/>
    <w:rsid w:val="48876F4C"/>
    <w:rsid w:val="488A1E9C"/>
    <w:rsid w:val="489C730B"/>
    <w:rsid w:val="49632CD6"/>
    <w:rsid w:val="497025BF"/>
    <w:rsid w:val="49730E90"/>
    <w:rsid w:val="49B0237D"/>
    <w:rsid w:val="49B456A0"/>
    <w:rsid w:val="49D83578"/>
    <w:rsid w:val="49FF35F0"/>
    <w:rsid w:val="4A23671C"/>
    <w:rsid w:val="4A8E43FC"/>
    <w:rsid w:val="4B582BD7"/>
    <w:rsid w:val="4BDB4ECF"/>
    <w:rsid w:val="4BE0498C"/>
    <w:rsid w:val="4C181260"/>
    <w:rsid w:val="4C582B91"/>
    <w:rsid w:val="4D202F62"/>
    <w:rsid w:val="4D2B0868"/>
    <w:rsid w:val="4DCB2E58"/>
    <w:rsid w:val="4DD360C6"/>
    <w:rsid w:val="4E4845A6"/>
    <w:rsid w:val="4EA86BDB"/>
    <w:rsid w:val="4F140B78"/>
    <w:rsid w:val="4F893ACD"/>
    <w:rsid w:val="4FA47FEB"/>
    <w:rsid w:val="4FB71708"/>
    <w:rsid w:val="50263228"/>
    <w:rsid w:val="50E13A61"/>
    <w:rsid w:val="50E768C2"/>
    <w:rsid w:val="510332A5"/>
    <w:rsid w:val="51455A20"/>
    <w:rsid w:val="5146382D"/>
    <w:rsid w:val="517459E7"/>
    <w:rsid w:val="51876B6B"/>
    <w:rsid w:val="518911B3"/>
    <w:rsid w:val="519604B6"/>
    <w:rsid w:val="51BA1695"/>
    <w:rsid w:val="52256C95"/>
    <w:rsid w:val="522F441A"/>
    <w:rsid w:val="523D1809"/>
    <w:rsid w:val="526016FD"/>
    <w:rsid w:val="52746391"/>
    <w:rsid w:val="52937DC4"/>
    <w:rsid w:val="52C72825"/>
    <w:rsid w:val="52DC2B2C"/>
    <w:rsid w:val="534475CD"/>
    <w:rsid w:val="54114993"/>
    <w:rsid w:val="54585AD4"/>
    <w:rsid w:val="545C0631"/>
    <w:rsid w:val="54C52B79"/>
    <w:rsid w:val="54E03FA9"/>
    <w:rsid w:val="54F24A86"/>
    <w:rsid w:val="553118B0"/>
    <w:rsid w:val="5549235E"/>
    <w:rsid w:val="559001B2"/>
    <w:rsid w:val="55B2291D"/>
    <w:rsid w:val="55ED1D22"/>
    <w:rsid w:val="56E03DE0"/>
    <w:rsid w:val="57086CA3"/>
    <w:rsid w:val="57102FD9"/>
    <w:rsid w:val="576E2CF5"/>
    <w:rsid w:val="57750307"/>
    <w:rsid w:val="5791126D"/>
    <w:rsid w:val="58AC24B2"/>
    <w:rsid w:val="593144FC"/>
    <w:rsid w:val="595E3BEC"/>
    <w:rsid w:val="59B36C6C"/>
    <w:rsid w:val="5A826B8A"/>
    <w:rsid w:val="5B3B15CF"/>
    <w:rsid w:val="5B7F6212"/>
    <w:rsid w:val="5C127F9B"/>
    <w:rsid w:val="5C443D94"/>
    <w:rsid w:val="5C467EA5"/>
    <w:rsid w:val="5C5408DC"/>
    <w:rsid w:val="5CCA5A2B"/>
    <w:rsid w:val="5CF538D2"/>
    <w:rsid w:val="5D0479D3"/>
    <w:rsid w:val="5D1A42DE"/>
    <w:rsid w:val="5D4221F0"/>
    <w:rsid w:val="5D603BC4"/>
    <w:rsid w:val="5D6D39AC"/>
    <w:rsid w:val="5E057968"/>
    <w:rsid w:val="5EA82DB6"/>
    <w:rsid w:val="5EAE6F9A"/>
    <w:rsid w:val="5EDA43FB"/>
    <w:rsid w:val="5F001790"/>
    <w:rsid w:val="5F3D1A4D"/>
    <w:rsid w:val="5F6D6CD9"/>
    <w:rsid w:val="5F726888"/>
    <w:rsid w:val="5FC96059"/>
    <w:rsid w:val="600913B2"/>
    <w:rsid w:val="60BB24B1"/>
    <w:rsid w:val="610A32A7"/>
    <w:rsid w:val="61552F0D"/>
    <w:rsid w:val="61A52DC7"/>
    <w:rsid w:val="61A77F71"/>
    <w:rsid w:val="61AF2F01"/>
    <w:rsid w:val="61BA077A"/>
    <w:rsid w:val="61EB73F4"/>
    <w:rsid w:val="620B22C0"/>
    <w:rsid w:val="623E7551"/>
    <w:rsid w:val="624A5543"/>
    <w:rsid w:val="62B83C80"/>
    <w:rsid w:val="62F06C6E"/>
    <w:rsid w:val="63091291"/>
    <w:rsid w:val="63840036"/>
    <w:rsid w:val="63AC6F8D"/>
    <w:rsid w:val="63DC09C8"/>
    <w:rsid w:val="63E35D12"/>
    <w:rsid w:val="63EF71B5"/>
    <w:rsid w:val="63FE4EB5"/>
    <w:rsid w:val="64134625"/>
    <w:rsid w:val="645C08F1"/>
    <w:rsid w:val="648F4E80"/>
    <w:rsid w:val="65094ED8"/>
    <w:rsid w:val="65676711"/>
    <w:rsid w:val="656B52A7"/>
    <w:rsid w:val="65A46972"/>
    <w:rsid w:val="668E7E0B"/>
    <w:rsid w:val="66D0302D"/>
    <w:rsid w:val="66F74058"/>
    <w:rsid w:val="670B0904"/>
    <w:rsid w:val="671F6FDB"/>
    <w:rsid w:val="679720DB"/>
    <w:rsid w:val="67BB3C02"/>
    <w:rsid w:val="68127CA1"/>
    <w:rsid w:val="68462EA0"/>
    <w:rsid w:val="68A13454"/>
    <w:rsid w:val="69300193"/>
    <w:rsid w:val="694C2805"/>
    <w:rsid w:val="69657341"/>
    <w:rsid w:val="6A6754CD"/>
    <w:rsid w:val="6A916E62"/>
    <w:rsid w:val="6A945A9B"/>
    <w:rsid w:val="6AEA2988"/>
    <w:rsid w:val="6AF4772F"/>
    <w:rsid w:val="6AFA4EFA"/>
    <w:rsid w:val="6B314882"/>
    <w:rsid w:val="6B7C46A3"/>
    <w:rsid w:val="6B9617A8"/>
    <w:rsid w:val="6BD522FD"/>
    <w:rsid w:val="6BE10C67"/>
    <w:rsid w:val="6C490484"/>
    <w:rsid w:val="6C751823"/>
    <w:rsid w:val="6C757E57"/>
    <w:rsid w:val="6CA874F3"/>
    <w:rsid w:val="6CB21CDB"/>
    <w:rsid w:val="6CF55FCB"/>
    <w:rsid w:val="6D1C038D"/>
    <w:rsid w:val="6D777B45"/>
    <w:rsid w:val="6E033242"/>
    <w:rsid w:val="6E450AE0"/>
    <w:rsid w:val="6EC05B55"/>
    <w:rsid w:val="6EE460F8"/>
    <w:rsid w:val="6EE80963"/>
    <w:rsid w:val="6F124255"/>
    <w:rsid w:val="6F25742D"/>
    <w:rsid w:val="6F5748DD"/>
    <w:rsid w:val="6F6369D5"/>
    <w:rsid w:val="6F69008A"/>
    <w:rsid w:val="6F6A455F"/>
    <w:rsid w:val="6F760B24"/>
    <w:rsid w:val="6FB745E2"/>
    <w:rsid w:val="700B3712"/>
    <w:rsid w:val="703B084C"/>
    <w:rsid w:val="70B70481"/>
    <w:rsid w:val="70B9511B"/>
    <w:rsid w:val="710F01D4"/>
    <w:rsid w:val="714C5014"/>
    <w:rsid w:val="71846FF1"/>
    <w:rsid w:val="71D92F74"/>
    <w:rsid w:val="721232F7"/>
    <w:rsid w:val="7214068D"/>
    <w:rsid w:val="72591B12"/>
    <w:rsid w:val="72724EB1"/>
    <w:rsid w:val="72C82DDB"/>
    <w:rsid w:val="72CE307C"/>
    <w:rsid w:val="73213242"/>
    <w:rsid w:val="736C0658"/>
    <w:rsid w:val="738B3A78"/>
    <w:rsid w:val="73F41045"/>
    <w:rsid w:val="742B41E8"/>
    <w:rsid w:val="74D0505C"/>
    <w:rsid w:val="75315330"/>
    <w:rsid w:val="75883AE7"/>
    <w:rsid w:val="760826FB"/>
    <w:rsid w:val="762E7793"/>
    <w:rsid w:val="7644659D"/>
    <w:rsid w:val="767A627F"/>
    <w:rsid w:val="76970BE9"/>
    <w:rsid w:val="777C2CA0"/>
    <w:rsid w:val="778B254E"/>
    <w:rsid w:val="77F73508"/>
    <w:rsid w:val="7872717E"/>
    <w:rsid w:val="78994EE2"/>
    <w:rsid w:val="78C204F0"/>
    <w:rsid w:val="791F21A9"/>
    <w:rsid w:val="7A99753D"/>
    <w:rsid w:val="7A9A1EA4"/>
    <w:rsid w:val="7AA0261E"/>
    <w:rsid w:val="7ABA4E4E"/>
    <w:rsid w:val="7AFD5EEC"/>
    <w:rsid w:val="7B127A63"/>
    <w:rsid w:val="7B1A2C8D"/>
    <w:rsid w:val="7B345C65"/>
    <w:rsid w:val="7B3C09BA"/>
    <w:rsid w:val="7B6B270A"/>
    <w:rsid w:val="7BBC5AB7"/>
    <w:rsid w:val="7BBE3A01"/>
    <w:rsid w:val="7BCD6BDC"/>
    <w:rsid w:val="7CAB1C8C"/>
    <w:rsid w:val="7CC220FA"/>
    <w:rsid w:val="7D1D7B89"/>
    <w:rsid w:val="7D273BCA"/>
    <w:rsid w:val="7D424EAA"/>
    <w:rsid w:val="7D464CFB"/>
    <w:rsid w:val="7D7B6841"/>
    <w:rsid w:val="7D9B050F"/>
    <w:rsid w:val="7DD341AE"/>
    <w:rsid w:val="7E18219E"/>
    <w:rsid w:val="7E206EC8"/>
    <w:rsid w:val="7E286A6E"/>
    <w:rsid w:val="7E490FDF"/>
    <w:rsid w:val="7E750D36"/>
    <w:rsid w:val="7EA94C29"/>
    <w:rsid w:val="7FD13BEB"/>
    <w:rsid w:val="7FEE0BB7"/>
    <w:rsid w:val="7FF46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Cs w:val="28"/>
    </w:rPr>
  </w:style>
  <w:style w:type="character" w:default="1" w:styleId="22">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2"/>
    <w:unhideWhenUsed/>
    <w:qFormat/>
    <w:uiPriority w:val="99"/>
    <w:rPr>
      <w:b/>
      <w:bCs/>
    </w:rPr>
  </w:style>
  <w:style w:type="paragraph" w:styleId="7">
    <w:name w:val="annotation text"/>
    <w:basedOn w:val="1"/>
    <w:link w:val="55"/>
    <w:unhideWhenUsed/>
    <w:qFormat/>
    <w:uiPriority w:val="99"/>
    <w:pPr>
      <w:jc w:val="left"/>
    </w:pPr>
  </w:style>
  <w:style w:type="paragraph" w:styleId="8">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9">
    <w:name w:val="Normal Indent"/>
    <w:basedOn w:val="1"/>
    <w:link w:val="53"/>
    <w:qFormat/>
    <w:uiPriority w:val="0"/>
    <w:pPr>
      <w:ind w:firstLine="420"/>
    </w:pPr>
    <w:rPr>
      <w:sz w:val="21"/>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Body Text Indent"/>
    <w:basedOn w:val="1"/>
    <w:link w:val="59"/>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6"/>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57"/>
    <w:qFormat/>
    <w:uiPriority w:val="99"/>
    <w:pPr>
      <w:tabs>
        <w:tab w:val="center" w:pos="4153"/>
        <w:tab w:val="right" w:pos="8306"/>
      </w:tabs>
      <w:snapToGrid w:val="0"/>
      <w:jc w:val="left"/>
    </w:pPr>
    <w:rPr>
      <w:sz w:val="18"/>
      <w:szCs w:val="18"/>
    </w:rPr>
  </w:style>
  <w:style w:type="paragraph" w:styleId="17">
    <w:name w:val="Body Text First Indent 2"/>
    <w:basedOn w:val="11"/>
    <w:unhideWhenUsed/>
    <w:uiPriority w:val="99"/>
    <w:pPr>
      <w:ind w:firstLine="420" w:firstLineChars="200"/>
    </w:pPr>
  </w:style>
  <w:style w:type="paragraph" w:styleId="18">
    <w:name w:val="header"/>
    <w:basedOn w:val="1"/>
    <w:qFormat/>
    <w:uiPriority w:val="0"/>
    <w:pP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1">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unhideWhenUsed/>
    <w:qFormat/>
    <w:uiPriority w:val="99"/>
    <w:rPr>
      <w:color w:val="800080"/>
      <w:u w:val="single"/>
    </w:rPr>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正文段"/>
    <w:basedOn w:val="1"/>
    <w:qFormat/>
    <w:uiPriority w:val="0"/>
    <w:pPr>
      <w:widowControl/>
      <w:snapToGrid w:val="0"/>
      <w:spacing w:afterLines="50"/>
      <w:ind w:firstLine="200" w:firstLineChars="200"/>
    </w:pPr>
    <w:rPr>
      <w:kern w:val="0"/>
      <w:sz w:val="24"/>
      <w:szCs w:val="20"/>
    </w:rPr>
  </w:style>
  <w:style w:type="paragraph" w:customStyle="1" w:styleId="31">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32">
    <w:name w:val="_Style 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4">
    <w:name w:val="_Style 30"/>
    <w:basedOn w:val="1"/>
    <w:qFormat/>
    <w:uiPriority w:val="34"/>
    <w:pPr>
      <w:ind w:firstLine="420" w:firstLineChars="200"/>
    </w:pPr>
    <w:rPr>
      <w:rFonts w:ascii="Calibri" w:hAnsi="Calibri"/>
      <w:sz w:val="21"/>
      <w:szCs w:val="22"/>
    </w:rPr>
  </w:style>
  <w:style w:type="paragraph" w:customStyle="1" w:styleId="3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
    <w:name w:val="_Style 32"/>
    <w:basedOn w:val="1"/>
    <w:next w:val="1"/>
    <w:link w:val="49"/>
    <w:unhideWhenUsed/>
    <w:qFormat/>
    <w:uiPriority w:val="99"/>
    <w:pPr>
      <w:widowControl/>
      <w:pBdr>
        <w:top w:val="single" w:color="auto" w:sz="6" w:space="1"/>
      </w:pBdr>
      <w:jc w:val="center"/>
    </w:pPr>
    <w:rPr>
      <w:rFonts w:ascii="Arial" w:hAnsi="Arial"/>
      <w:vanish/>
      <w:kern w:val="0"/>
      <w:sz w:val="16"/>
      <w:szCs w:val="16"/>
    </w:rPr>
  </w:style>
  <w:style w:type="paragraph" w:customStyle="1" w:styleId="37">
    <w:name w:val="Char Char Char Char1"/>
    <w:basedOn w:val="1"/>
    <w:qFormat/>
    <w:uiPriority w:val="0"/>
    <w:rPr>
      <w:rFonts w:ascii="Tahoma" w:hAnsi="Tahoma"/>
      <w:sz w:val="24"/>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_Style 35"/>
    <w:basedOn w:val="1"/>
    <w:next w:val="1"/>
    <w:link w:val="60"/>
    <w:unhideWhenUsed/>
    <w:qFormat/>
    <w:uiPriority w:val="99"/>
    <w:pPr>
      <w:widowControl/>
      <w:pBdr>
        <w:bottom w:val="single" w:color="auto" w:sz="6" w:space="1"/>
      </w:pBdr>
      <w:jc w:val="center"/>
    </w:pPr>
    <w:rPr>
      <w:rFonts w:ascii="Arial" w:hAnsi="Arial"/>
      <w:vanish/>
      <w:kern w:val="0"/>
      <w:sz w:val="16"/>
      <w:szCs w:val="16"/>
    </w:rPr>
  </w:style>
  <w:style w:type="paragraph" w:customStyle="1" w:styleId="40">
    <w:name w:val="List Paragraph1"/>
    <w:basedOn w:val="1"/>
    <w:qFormat/>
    <w:uiPriority w:val="0"/>
    <w:pPr>
      <w:ind w:firstLine="420" w:firstLineChars="200"/>
    </w:pPr>
    <w:rPr>
      <w:sz w:val="21"/>
    </w:rPr>
  </w:style>
  <w:style w:type="paragraph" w:customStyle="1" w:styleId="41">
    <w:name w:val="彩色列表 - 强调文字颜色 12"/>
    <w:basedOn w:val="1"/>
    <w:qFormat/>
    <w:uiPriority w:val="34"/>
    <w:pPr>
      <w:ind w:left="720"/>
      <w:contextualSpacing/>
    </w:p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paragraph" w:customStyle="1" w:styleId="43">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character" w:customStyle="1" w:styleId="44">
    <w:name w:val="正文文本缩进 Char"/>
    <w:qFormat/>
    <w:uiPriority w:val="0"/>
    <w:rPr>
      <w:rFonts w:ascii="宋体" w:hAnsi="Courier New"/>
      <w:spacing w:val="-4"/>
      <w:kern w:val="2"/>
      <w:sz w:val="18"/>
    </w:rPr>
  </w:style>
  <w:style w:type="character" w:customStyle="1" w:styleId="45">
    <w:name w:val="纯文本 Char1"/>
    <w:qFormat/>
    <w:uiPriority w:val="0"/>
    <w:rPr>
      <w:rFonts w:ascii="宋体" w:hAnsi="Courier New"/>
      <w:kern w:val="2"/>
      <w:sz w:val="21"/>
    </w:rPr>
  </w:style>
  <w:style w:type="character" w:customStyle="1" w:styleId="46">
    <w:name w:val="纯文本 Char2"/>
    <w:link w:val="13"/>
    <w:qFormat/>
    <w:uiPriority w:val="99"/>
    <w:rPr>
      <w:rFonts w:ascii="宋体" w:hAnsi="Courier New"/>
      <w:kern w:val="2"/>
      <w:sz w:val="24"/>
      <w:szCs w:val="24"/>
    </w:rPr>
  </w:style>
  <w:style w:type="character" w:customStyle="1" w:styleId="47">
    <w:name w:val="black601"/>
    <w:qFormat/>
    <w:uiPriority w:val="0"/>
    <w:rPr>
      <w:color w:val="666666"/>
    </w:rPr>
  </w:style>
  <w:style w:type="character" w:customStyle="1" w:styleId="48">
    <w:name w:val="标题 2 Char"/>
    <w:link w:val="3"/>
    <w:semiHidden/>
    <w:qFormat/>
    <w:uiPriority w:val="9"/>
    <w:rPr>
      <w:rFonts w:ascii="Cambria" w:hAnsi="Cambria" w:eastAsia="宋体" w:cs="Times New Roman"/>
      <w:b/>
      <w:bCs/>
      <w:kern w:val="2"/>
      <w:sz w:val="32"/>
      <w:szCs w:val="32"/>
    </w:rPr>
  </w:style>
  <w:style w:type="character" w:customStyle="1" w:styleId="49">
    <w:name w:val="z-窗体底端 字符"/>
    <w:link w:val="36"/>
    <w:semiHidden/>
    <w:qFormat/>
    <w:uiPriority w:val="99"/>
    <w:rPr>
      <w:rFonts w:ascii="Arial" w:hAnsi="Arial"/>
      <w:vanish/>
      <w:sz w:val="16"/>
      <w:szCs w:val="16"/>
    </w:rPr>
  </w:style>
  <w:style w:type="character" w:customStyle="1" w:styleId="50">
    <w:name w:val="纯文本 Char"/>
    <w:qFormat/>
    <w:uiPriority w:val="0"/>
    <w:rPr>
      <w:rFonts w:ascii="宋体" w:hAnsi="Courier New"/>
      <w:kern w:val="2"/>
      <w:sz w:val="24"/>
      <w:szCs w:val="24"/>
    </w:rPr>
  </w:style>
  <w:style w:type="character" w:customStyle="1" w:styleId="51">
    <w:name w:val="sub_title s0"/>
    <w:basedOn w:val="22"/>
    <w:qFormat/>
    <w:uiPriority w:val="0"/>
  </w:style>
  <w:style w:type="character" w:customStyle="1" w:styleId="52">
    <w:name w:val="批注主题 Char"/>
    <w:link w:val="6"/>
    <w:semiHidden/>
    <w:qFormat/>
    <w:uiPriority w:val="99"/>
    <w:rPr>
      <w:b/>
      <w:bCs/>
      <w:kern w:val="2"/>
      <w:sz w:val="28"/>
      <w:szCs w:val="24"/>
    </w:rPr>
  </w:style>
  <w:style w:type="character" w:customStyle="1" w:styleId="53">
    <w:name w:val="正文缩进 Char"/>
    <w:link w:val="9"/>
    <w:qFormat/>
    <w:uiPriority w:val="0"/>
    <w:rPr>
      <w:rFonts w:eastAsia="宋体"/>
      <w:kern w:val="2"/>
      <w:sz w:val="21"/>
      <w:lang w:val="en-US" w:eastAsia="zh-CN" w:bidi="ar-SA"/>
    </w:rPr>
  </w:style>
  <w:style w:type="character" w:customStyle="1" w:styleId="54">
    <w:name w:val="正文文本缩进 Char1"/>
    <w:qFormat/>
    <w:uiPriority w:val="0"/>
    <w:rPr>
      <w:rFonts w:ascii="宋体" w:hAnsi="Courier New"/>
      <w:spacing w:val="-4"/>
      <w:kern w:val="2"/>
      <w:sz w:val="18"/>
    </w:rPr>
  </w:style>
  <w:style w:type="character" w:customStyle="1" w:styleId="55">
    <w:name w:val="批注文字 Char"/>
    <w:link w:val="7"/>
    <w:qFormat/>
    <w:uiPriority w:val="99"/>
    <w:rPr>
      <w:kern w:val="2"/>
      <w:sz w:val="28"/>
      <w:szCs w:val="24"/>
    </w:rPr>
  </w:style>
  <w:style w:type="character" w:customStyle="1" w:styleId="56">
    <w:name w:val="标题 1 Char"/>
    <w:link w:val="2"/>
    <w:qFormat/>
    <w:uiPriority w:val="9"/>
    <w:rPr>
      <w:b/>
      <w:bCs/>
      <w:kern w:val="44"/>
      <w:sz w:val="44"/>
      <w:szCs w:val="44"/>
    </w:rPr>
  </w:style>
  <w:style w:type="character" w:customStyle="1" w:styleId="57">
    <w:name w:val="页脚 Char"/>
    <w:link w:val="16"/>
    <w:qFormat/>
    <w:uiPriority w:val="99"/>
    <w:rPr>
      <w:kern w:val="2"/>
      <w:sz w:val="18"/>
      <w:szCs w:val="18"/>
    </w:rPr>
  </w:style>
  <w:style w:type="character" w:customStyle="1" w:styleId="58">
    <w:name w:val="标题 1 Char Char"/>
    <w:qFormat/>
    <w:uiPriority w:val="0"/>
    <w:rPr>
      <w:rFonts w:eastAsia="宋体"/>
      <w:b/>
      <w:spacing w:val="-2"/>
      <w:sz w:val="24"/>
      <w:lang w:val="en-US" w:eastAsia="zh-CN" w:bidi="ar-SA"/>
    </w:rPr>
  </w:style>
  <w:style w:type="character" w:customStyle="1" w:styleId="59">
    <w:name w:val="正文文本缩进 Char2"/>
    <w:link w:val="11"/>
    <w:qFormat/>
    <w:uiPriority w:val="0"/>
    <w:rPr>
      <w:rFonts w:ascii="宋体" w:hAnsi="Courier New"/>
      <w:spacing w:val="-4"/>
      <w:kern w:val="2"/>
      <w:sz w:val="18"/>
    </w:rPr>
  </w:style>
  <w:style w:type="character" w:customStyle="1" w:styleId="60">
    <w:name w:val="z-窗体顶端 字符"/>
    <w:link w:val="39"/>
    <w:semiHidden/>
    <w:qFormat/>
    <w:uiPriority w:val="99"/>
    <w:rPr>
      <w:rFonts w:ascii="Arial" w:hAnsi="Arial"/>
      <w:vanish/>
      <w:sz w:val="16"/>
      <w:szCs w:val="16"/>
    </w:rPr>
  </w:style>
  <w:style w:type="character" w:customStyle="1" w:styleId="61">
    <w:name w:val="maywed421"/>
    <w:qFormat/>
    <w:uiPriority w:val="0"/>
    <w:rPr>
      <w:color w:val="366FB6"/>
      <w:u w:val="none"/>
    </w:rPr>
  </w:style>
  <w:style w:type="paragraph" w:customStyle="1" w:styleId="62">
    <w:name w:val="_Style 5"/>
    <w:basedOn w:val="1"/>
    <w:qFormat/>
    <w:uiPriority w:val="0"/>
    <w:pPr>
      <w:ind w:firstLine="420" w:firstLineChars="200"/>
    </w:pPr>
  </w:style>
  <w:style w:type="paragraph" w:customStyle="1" w:styleId="6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6143</Words>
  <Characters>35017</Characters>
  <Lines>291</Lines>
  <Paragraphs>82</Paragraphs>
  <ScaleCrop>false</ScaleCrop>
  <LinksUpToDate>false</LinksUpToDate>
  <CharactersWithSpaces>41078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2017-06-19T01:43:00Z</dcterms:created>
  <dc:creator>jj</dc:creator>
  <cp:lastModifiedBy>Administrator</cp:lastModifiedBy>
  <cp:lastPrinted>2017-03-09T07:41:00Z</cp:lastPrinted>
  <dcterms:modified xsi:type="dcterms:W3CDTF">2017-10-09T08:13:44Z</dcterms:modified>
  <dc:title>求是招标代理有限公司</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